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Lines/>
        <w:spacing w:before="200" w:after="40"/>
        <w:rPr/>
      </w:pPr>
      <w:r>
        <w:rPr>
          <w:rFonts w:eastAsia="Liberation Sans"/>
          <w:b/>
          <w:i w:val="false"/>
          <w:color w:val="233B53"/>
          <w:sz w:val="44"/>
        </w:rPr>
        <w:t xml:space="preserve">Analyse: </w:t>
      </w:r>
      <w:r>
        <w:rPr>
          <w:rFonts w:eastAsia="Liberation Sans"/>
          <w:b/>
          <w:i w:val="false"/>
          <w:color w:val="233B53"/>
          <w:sz w:val="44"/>
        </w:rPr>
        <w:t>Wenn die Kommentarspalte selbst zur Botschaft wird</w:t>
      </w:r>
    </w:p>
    <w:p>
      <w:pPr>
        <w:pStyle w:val="Normal"/>
        <w:keepLines/>
        <w:spacing w:before="0" w:after="160"/>
        <w:rPr/>
      </w:pPr>
      <w:r>
        <w:rPr>
          <w:rFonts w:eastAsia="Liberation Sans"/>
          <w:b/>
          <w:i w:val="false"/>
          <w:color w:val="2F6F73"/>
          <w:sz w:val="22"/>
        </w:rPr>
        <w:t>Sichtbarkeit, Wiederholung und der Eindruck von Normalität</w:t>
      </w:r>
    </w:p>
    <w:tbl>
      <w:tblPr>
        <w:tblW w:w="10263" w:type="dxa"/>
        <w:jc w:val="center"/>
        <w:tblInd w:w="0" w:type="dxa"/>
        <w:tblLayout w:type="fixed"/>
        <w:tblCellMar>
          <w:top w:w="165" w:type="dxa"/>
          <w:left w:w="190" w:type="dxa"/>
          <w:bottom w:w="165" w:type="dxa"/>
          <w:right w:w="190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>
              <w:left w:val="single" w:sz="18" w:space="0" w:color="2F6F73"/>
            </w:tcBorders>
            <w:shd w:fill="EAF1F6"/>
          </w:tcPr>
          <w:p>
            <w:pPr>
              <w:pStyle w:val="Normal"/>
              <w:spacing w:before="0" w:after="40"/>
              <w:rPr/>
            </w:pPr>
            <w:r>
              <w:rPr>
                <w:rFonts w:eastAsia="Liberation Sans"/>
                <w:b/>
                <w:i w:val="false"/>
                <w:color w:val="2F6F73"/>
                <w:sz w:val="17"/>
              </w:rPr>
              <w:t>KERNTHESE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1F252A"/>
                <w:sz w:val="20"/>
              </w:rPr>
              <w:t>Eine Kommentarspalte zeigt, was in diesem konkreten Raum sichtbar ist – nicht, was eine gesellschaftliche Mehrheit denkt. Viele ähnliche Beiträge können trotzdem den Eindruck verstärken, eine Haltung sei verbreitet, normal oder selbstverständlich.</w:t>
            </w:r>
          </w:p>
        </w:tc>
      </w:tr>
    </w:tbl>
    <w:p>
      <w:pPr>
        <w:pStyle w:val="Normal"/>
        <w:keepLines/>
        <w:spacing w:before="180" w:after="60"/>
        <w:rPr>
          <w:rFonts w:ascii="Liberation Sans" w:hAnsi="Liberation Sans" w:eastAsia="Liberation Sans"/>
          <w:b/>
          <w:i w:val="false"/>
          <w:i w:val="false"/>
          <w:color w:val="233B53"/>
          <w:sz w:val="17"/>
        </w:rPr>
      </w:pPr>
      <w:r>
        <w:rPr/>
      </w:r>
    </w:p>
    <w:p>
      <w:pPr>
        <w:pStyle w:val="Normal"/>
        <w:spacing w:before="180" w:after="60"/>
        <w:rPr/>
      </w:pPr>
      <w:r>
        <w:rPr>
          <w:rFonts w:eastAsia="Liberation Sans"/>
          <w:b/>
          <w:i w:val="false"/>
          <w:color w:val="233B53"/>
          <w:sz w:val="17"/>
        </w:rPr>
        <w:t>WAS WIR IM MATERIAL SEHEN</w:t>
      </w:r>
    </w:p>
    <w:tbl>
      <w:tblPr>
        <w:tblW w:w="10263" w:type="dxa"/>
        <w:jc w:val="center"/>
        <w:tblInd w:w="0" w:type="dxa"/>
        <w:tblLayout w:type="fixed"/>
        <w:tblCellMar>
          <w:top w:w="130" w:type="dxa"/>
          <w:left w:w="130" w:type="dxa"/>
          <w:bottom w:w="120" w:type="dxa"/>
          <w:right w:w="130" w:type="dxa"/>
        </w:tblCellMar>
        <w:tblLook w:val="04a0" w:noHBand="0" w:noVBand="1" w:firstColumn="1" w:lastRow="0" w:lastColumn="0" w:firstRow="1"/>
      </w:tblPr>
      <w:tblGrid>
        <w:gridCol w:w="3421"/>
        <w:gridCol w:w="3421"/>
        <w:gridCol w:w="3421"/>
      </w:tblGrid>
      <w:tr>
        <w:trPr>
          <w:cantSplit w:val="true"/>
        </w:trPr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4F7F9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Liberation Sans"/>
                <w:b/>
                <w:i w:val="false"/>
                <w:color w:val="233B53"/>
                <w:sz w:val="40"/>
              </w:rPr>
              <w:t>317</w:t>
            </w:r>
          </w:p>
          <w:p>
            <w:pPr>
              <w:pStyle w:val="Normal"/>
              <w:spacing w:before="0" w:after="20"/>
              <w:jc w:val="center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>Kommentare</w:t>
            </w:r>
          </w:p>
          <w:p>
            <w:pPr>
              <w:pStyle w:val="Normal"/>
              <w:spacing w:before="0" w:after="20"/>
              <w:jc w:val="center"/>
              <w:rPr/>
            </w:pPr>
            <w:r>
              <w:rPr>
                <w:rFonts w:eastAsia="Liberation Sans"/>
                <w:b/>
                <w:i w:val="false"/>
                <w:color w:val="1F252A"/>
                <w:sz w:val="16"/>
              </w:rPr>
              <w:t>feindselig-abwertend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Liberation Sans"/>
                <w:b w:val="false"/>
                <w:i w:val="false"/>
                <w:color w:val="5D6870"/>
                <w:sz w:val="15"/>
              </w:rPr>
              <w:t>Bezugsgröße der Hauptanalyse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4F7F9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Liberation Sans"/>
                <w:b/>
                <w:i w:val="false"/>
                <w:color w:val="233B53"/>
                <w:sz w:val="40"/>
              </w:rPr>
              <w:t>258</w:t>
            </w:r>
          </w:p>
          <w:p>
            <w:pPr>
              <w:pStyle w:val="Normal"/>
              <w:spacing w:before="0" w:after="20"/>
              <w:jc w:val="center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>Accounts</w:t>
            </w:r>
          </w:p>
          <w:p>
            <w:pPr>
              <w:pStyle w:val="Normal"/>
              <w:spacing w:before="0" w:after="20"/>
              <w:jc w:val="center"/>
              <w:rPr/>
            </w:pPr>
            <w:r>
              <w:rPr>
                <w:rFonts w:eastAsia="Liberation Sans"/>
                <w:b/>
                <w:i w:val="false"/>
                <w:color w:val="1F252A"/>
                <w:sz w:val="16"/>
              </w:rPr>
              <w:t>hinter diesen 317 Kommentaren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Liberation Sans"/>
                <w:b w:val="false"/>
                <w:i w:val="false"/>
                <w:color w:val="5D6870"/>
                <w:sz w:val="15"/>
              </w:rPr>
              <w:t>sichtbare Häufung, keine Bevölkerungsstichprobe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4F7F9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Liberation Sans"/>
                <w:b/>
                <w:i w:val="false"/>
                <w:color w:val="233B53"/>
                <w:sz w:val="40"/>
              </w:rPr>
              <w:t>220</w:t>
            </w:r>
          </w:p>
          <w:p>
            <w:pPr>
              <w:pStyle w:val="Normal"/>
              <w:spacing w:before="0" w:after="20"/>
              <w:jc w:val="center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>Accounts</w:t>
            </w:r>
          </w:p>
          <w:p>
            <w:pPr>
              <w:pStyle w:val="Normal"/>
              <w:spacing w:before="0" w:after="20"/>
              <w:jc w:val="center"/>
              <w:rPr/>
            </w:pPr>
            <w:r>
              <w:rPr>
                <w:rFonts w:eastAsia="Liberation Sans"/>
                <w:b/>
                <w:i w:val="false"/>
                <w:color w:val="1F252A"/>
                <w:sz w:val="16"/>
              </w:rPr>
              <w:t>mit nur einem solchen Kommentar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Liberation Sans"/>
                <w:b w:val="false"/>
                <w:i w:val="false"/>
                <w:color w:val="5D6870"/>
                <w:sz w:val="15"/>
              </w:rPr>
              <w:t>85,3 % der beteiligten Accounts</w:t>
            </w:r>
          </w:p>
        </w:tc>
      </w:tr>
    </w:tbl>
    <w:p>
      <w:pPr>
        <w:pStyle w:val="Normal"/>
        <w:keepLines/>
        <w:spacing w:before="160" w:after="60"/>
        <w:rPr>
          <w:rFonts w:ascii="Liberation Sans" w:hAnsi="Liberation Sans" w:eastAsia="Liberation Sans"/>
          <w:b/>
          <w:i w:val="false"/>
          <w:i w:val="false"/>
          <w:color w:val="233B53"/>
          <w:sz w:val="17"/>
        </w:rPr>
      </w:pPr>
      <w:r>
        <w:rPr/>
      </w:r>
    </w:p>
    <w:p>
      <w:pPr>
        <w:pStyle w:val="Normal"/>
        <w:spacing w:before="160" w:after="60"/>
        <w:rPr/>
      </w:pPr>
      <w:r>
        <w:rPr>
          <w:rFonts w:eastAsia="Liberation Sans"/>
          <w:b/>
          <w:i w:val="false"/>
          <w:color w:val="233B53"/>
          <w:sz w:val="17"/>
        </w:rPr>
        <w:t>WAS DIE KOMMENTARSPALTE LEISTET</w:t>
      </w:r>
    </w:p>
    <w:tbl>
      <w:tblPr>
        <w:tblW w:w="10263" w:type="dxa"/>
        <w:jc w:val="center"/>
        <w:tblInd w:w="0" w:type="dxa"/>
        <w:tblLayout w:type="fixed"/>
        <w:tblCellMar>
          <w:top w:w="50" w:type="dxa"/>
          <w:left w:w="0" w:type="dxa"/>
          <w:bottom w:w="40" w:type="dxa"/>
          <w:right w:w="170" w:type="dxa"/>
        </w:tblCellMar>
        <w:tblLook w:val="04a0" w:noHBand="0" w:noVBand="1" w:firstColumn="1" w:lastRow="0" w:lastColumn="0" w:firstRow="1"/>
      </w:tblPr>
      <w:tblGrid>
        <w:gridCol w:w="5131"/>
        <w:gridCol w:w="5131"/>
      </w:tblGrid>
      <w:tr>
        <w:trPr>
          <w:cantSplit w:val="true"/>
        </w:trPr>
        <w:tc>
          <w:tcPr>
            <w:tcW w:w="5131" w:type="dxa"/>
            <w:tcBorders/>
          </w:tcPr>
          <w:p>
            <w:pPr>
              <w:pStyle w:val="Normal"/>
              <w:rPr/>
            </w:pPr>
            <w:r>
              <w:rPr>
                <w:rFonts w:eastAsia="Liberation Sans"/>
                <w:b/>
                <w:i w:val="false"/>
                <w:color w:val="233B53"/>
                <w:sz w:val="20"/>
              </w:rPr>
              <w:t>1  Sichtbarkeit prägt Wahrnehmung</w:t>
            </w:r>
          </w:p>
          <w:p>
            <w:pPr>
              <w:pStyle w:val="Normal"/>
              <w:spacing w:before="0" w:after="100"/>
              <w:rPr/>
            </w:pPr>
            <w:r>
              <w:rPr>
                <w:rFonts w:eastAsia="Liberation Sans"/>
                <w:b w:val="false"/>
                <w:i w:val="false"/>
                <w:color w:val="1F252A"/>
                <w:sz w:val="18"/>
              </w:rPr>
              <w:t>Menschen sehen nie „die Gesellschaft“, sondern einen begrenzten Ausschnitt. In sozialen Netzwerken kann dieser lokale Ausschnitt die wahrgenommene Verbreitung einer Haltung stark verzerren.</w:t>
            </w:r>
          </w:p>
          <w:p>
            <w:pPr>
              <w:pStyle w:val="Normal"/>
              <w:widowControl/>
              <w:bidi w:val="0"/>
              <w:spacing w:lineRule="auto" w:line="259" w:before="0" w:after="70"/>
              <w:jc w:val="left"/>
              <w:rPr/>
            </w:pPr>
            <w:r>
              <w:rPr>
                <w:rFonts w:eastAsia="Liberation Sans"/>
                <w:b/>
                <w:i w:val="false"/>
                <w:color w:val="2F6F73"/>
                <w:sz w:val="18"/>
              </w:rPr>
              <w:t xml:space="preserve">Forschungsbezug: </w:t>
            </w:r>
            <w:r>
              <w:rPr>
                <w:rFonts w:eastAsia="Liberation Sans"/>
                <w:b w:val="false"/>
                <w:i w:val="false"/>
                <w:color w:val="1F252A"/>
                <w:sz w:val="18"/>
              </w:rPr>
              <w:t>Die Netzwerkforschung beschreibt mit der „Majority Illusion“, wie lokal stark sichtbare Minderheiten größer wirken können, als sie insgesamt sind.</w:t>
            </w:r>
          </w:p>
        </w:tc>
        <w:tc>
          <w:tcPr>
            <w:tcW w:w="5131" w:type="dxa"/>
            <w:tcBorders/>
            <w:tcMar>
              <w:right w:w="0" w:type="dxa"/>
            </w:tcMar>
          </w:tcPr>
          <w:p>
            <w:pPr>
              <w:pStyle w:val="Normal"/>
              <w:rPr/>
            </w:pPr>
            <w:r>
              <w:rPr>
                <w:rFonts w:eastAsia="Liberation Sans"/>
                <w:b/>
                <w:i w:val="false"/>
                <w:color w:val="233B53"/>
                <w:sz w:val="20"/>
              </w:rPr>
              <w:t>2  Masse verändert den kommunikativen Raum</w:t>
            </w:r>
          </w:p>
          <w:p>
            <w:pPr>
              <w:pStyle w:val="Normal"/>
              <w:spacing w:before="0" w:after="100"/>
              <w:rPr/>
            </w:pPr>
            <w:r>
              <w:rPr>
                <w:rFonts w:eastAsia="Liberation Sans"/>
                <w:b w:val="false"/>
                <w:i w:val="false"/>
                <w:color w:val="1F252A"/>
                <w:sz w:val="18"/>
              </w:rPr>
              <w:t>Wenn ähnliche Abwertungen immer wieder auftauchen, entsteht nicht automatisch Konsens. Aber die Wiederholung kann beeinflussen, was beim Lesen als üblich, sagbar oder dominant erscheint.</w:t>
            </w:r>
          </w:p>
          <w:p>
            <w:pPr>
              <w:pStyle w:val="Normal"/>
              <w:widowControl/>
              <w:bidi w:val="0"/>
              <w:spacing w:lineRule="auto" w:line="259" w:before="0" w:after="70"/>
              <w:jc w:val="left"/>
              <w:rPr/>
            </w:pPr>
            <w:r>
              <w:rPr>
                <w:rFonts w:eastAsia="Liberation Sans"/>
                <w:b/>
                <w:i w:val="false"/>
                <w:color w:val="2F6F73"/>
                <w:sz w:val="18"/>
              </w:rPr>
              <w:t xml:space="preserve">Wichtige Grenze: </w:t>
            </w:r>
            <w:r>
              <w:rPr>
                <w:rFonts w:eastAsia="Liberation Sans"/>
                <w:b w:val="false"/>
                <w:i w:val="false"/>
                <w:color w:val="1F252A"/>
                <w:sz w:val="18"/>
              </w:rPr>
              <w:t>Aus einer dichten Kommentarflut lässt sich weder eine gesellschaftliche Mehrheit noch eine organisierte Kampagne ableiten.</w:t>
            </w:r>
          </w:p>
        </w:tc>
      </w:tr>
    </w:tbl>
    <w:p>
      <w:pPr>
        <w:pStyle w:val="Normal"/>
        <w:keepLines/>
        <w:spacing w:before="160" w:after="60"/>
        <w:rPr>
          <w:rFonts w:ascii="Liberation Sans" w:hAnsi="Liberation Sans" w:eastAsia="Liberation Sans"/>
          <w:b/>
          <w:i w:val="false"/>
          <w:i w:val="false"/>
          <w:color w:val="233B53"/>
          <w:sz w:val="17"/>
        </w:rPr>
      </w:pPr>
      <w:r>
        <w:rPr/>
      </w:r>
    </w:p>
    <w:p>
      <w:pPr>
        <w:pStyle w:val="Normal"/>
        <w:spacing w:before="160" w:after="60"/>
        <w:rPr/>
      </w:pPr>
      <w:r>
        <w:rPr>
          <w:rFonts w:eastAsia="Liberation Sans"/>
          <w:b/>
          <w:i w:val="false"/>
          <w:color w:val="233B53"/>
          <w:sz w:val="17"/>
        </w:rPr>
        <w:t>ORIENTIERUNG FÜR KOMMENTARSPALTEN</w:t>
      </w:r>
    </w:p>
    <w:tbl>
      <w:tblPr>
        <w:tblW w:w="10263" w:type="dxa"/>
        <w:jc w:val="center"/>
        <w:tblInd w:w="0" w:type="dxa"/>
        <w:tblLayout w:type="fixed"/>
        <w:tblCellMar>
          <w:top w:w="155" w:type="dxa"/>
          <w:left w:w="190" w:type="dxa"/>
          <w:bottom w:w="145" w:type="dxa"/>
          <w:right w:w="190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/>
            <w:shd w:fill="233B53"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rFonts w:eastAsia="Liberation Sans"/>
                <w:b/>
                <w:i w:val="false"/>
                <w:color w:val="FFFFFF"/>
                <w:sz w:val="24"/>
              </w:rPr>
              <w:t>Was sehe ich tatsächlich – und was schließe ich nur aus der Sichtbarkeit?</w:t>
            </w:r>
          </w:p>
          <w:p>
            <w:pPr>
              <w:pStyle w:val="Normal"/>
              <w:spacing w:before="0" w:after="100"/>
              <w:jc w:val="center"/>
              <w:rPr/>
            </w:pPr>
            <w:r>
              <w:rPr>
                <w:rFonts w:eastAsia="Liberation Sans"/>
                <w:b/>
                <w:i w:val="false"/>
                <w:color w:val="FFFFFF"/>
                <w:sz w:val="20"/>
              </w:rPr>
              <w:t>Sichtbarkeit ist keine Mehrheit.  ·  Wiederholung ist keine Wahrheit.  ·  Abwertung ist kein Argument.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Liberation Sans"/>
                <w:b w:val="false"/>
                <w:i w:val="false"/>
                <w:color w:val="DDE7EE"/>
                <w:sz w:val="17"/>
              </w:rPr>
              <w:t>Eine Kommentarspalte ist ein Kommunikationsraum, keine Umfrage.</w:t>
            </w:r>
          </w:p>
        </w:tc>
      </w:tr>
    </w:tbl>
    <w:p>
      <w:pPr>
        <w:pStyle w:val="Normal"/>
        <w:keepLines/>
        <w:spacing w:before="160" w:after="60"/>
        <w:rPr>
          <w:rFonts w:ascii="Liberation Sans" w:hAnsi="Liberation Sans" w:eastAsia="Liberation Sans"/>
          <w:b/>
          <w:i w:val="false"/>
          <w:i w:val="false"/>
          <w:color w:val="233B53"/>
          <w:sz w:val="17"/>
        </w:rPr>
      </w:pPr>
      <w:r>
        <w:rPr/>
      </w:r>
    </w:p>
    <w:p>
      <w:pPr>
        <w:pStyle w:val="Normal"/>
        <w:spacing w:before="160" w:after="60"/>
        <w:rPr/>
      </w:pPr>
      <w:r>
        <w:rPr>
          <w:rFonts w:eastAsia="Liberation Sans"/>
          <w:b/>
          <w:i w:val="false"/>
          <w:color w:val="233B53"/>
          <w:sz w:val="17"/>
        </w:rPr>
        <w:t>WARUM IST DAS RELEVANT?</w:t>
      </w:r>
    </w:p>
    <w:tbl>
      <w:tblPr>
        <w:tblW w:w="10263" w:type="dxa"/>
        <w:jc w:val="center"/>
        <w:tblInd w:w="0" w:type="dxa"/>
        <w:tblLayout w:type="fixed"/>
        <w:tblCellMar>
          <w:top w:w="110" w:type="dxa"/>
          <w:left w:w="120" w:type="dxa"/>
          <w:bottom w:w="105" w:type="dxa"/>
          <w:right w:w="120" w:type="dxa"/>
        </w:tblCellMar>
        <w:tblLook w:val="04a0" w:noHBand="0" w:noVBand="1" w:firstColumn="1" w:lastRow="0" w:lastColumn="0" w:firstRow="1"/>
      </w:tblPr>
      <w:tblGrid>
        <w:gridCol w:w="3421"/>
        <w:gridCol w:w="3421"/>
        <w:gridCol w:w="3421"/>
      </w:tblGrid>
      <w:tr>
        <w:trPr>
          <w:cantSplit w:val="true"/>
        </w:trPr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7F9FA"/>
          </w:tcPr>
          <w:p>
            <w:pPr>
              <w:pStyle w:val="Normal"/>
              <w:spacing w:before="0" w:after="40"/>
              <w:rPr/>
            </w:pPr>
            <w:r>
              <w:rPr>
                <w:rFonts w:eastAsia="Liberation Sans"/>
                <w:b/>
                <w:i w:val="false"/>
                <w:color w:val="233B53"/>
                <w:sz w:val="17"/>
              </w:rPr>
              <w:t>1  Kommentarspalten sind keine Umfragen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 w:val="false"/>
                <w:i w:val="false"/>
                <w:color w:val="1F252A"/>
                <w:sz w:val="15"/>
              </w:rPr>
              <w:t>Wer Lautstärke mit Mehrheitsverhältnissen verwechselt, überschätzt leicht die Aussagekraft des sichtbaren Ausschnitts.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7F9FA"/>
          </w:tcPr>
          <w:p>
            <w:pPr>
              <w:pStyle w:val="Normal"/>
              <w:spacing w:before="0" w:after="40"/>
              <w:rPr/>
            </w:pPr>
            <w:r>
              <w:rPr>
                <w:rFonts w:eastAsia="Liberation Sans"/>
                <w:b/>
                <w:i w:val="false"/>
                <w:color w:val="233B53"/>
                <w:sz w:val="17"/>
              </w:rPr>
              <w:t>2  Wiederholung kann normal wirken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 w:val="false"/>
                <w:i w:val="false"/>
                <w:color w:val="1F252A"/>
                <w:sz w:val="15"/>
              </w:rPr>
              <w:t>Eine oft gelesene Formulierung kann vertrauter und dominanter erscheinen, ohne dadurch richtiger oder gesellschaftlich akzeptierter zu sein.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7F9FA"/>
          </w:tcPr>
          <w:p>
            <w:pPr>
              <w:pStyle w:val="Normal"/>
              <w:spacing w:before="0" w:after="40"/>
              <w:rPr/>
            </w:pPr>
            <w:r>
              <w:rPr>
                <w:rFonts w:eastAsia="Liberation Sans"/>
                <w:b/>
                <w:i w:val="false"/>
                <w:color w:val="233B53"/>
                <w:sz w:val="17"/>
              </w:rPr>
              <w:t>3  Mustererkennung schafft Abstand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 w:val="false"/>
                <w:i w:val="false"/>
                <w:color w:val="1F252A"/>
                <w:sz w:val="15"/>
              </w:rPr>
              <w:t>Wer die Mechanik des Raumes mitliest, kann bewusster entscheiden, ob und wie eine Reaktion sinnvoll ist.</w:t>
            </w:r>
          </w:p>
        </w:tc>
      </w:tr>
      <w:tr>
        <w:trPr>
          <w:cantSplit w:val="true"/>
        </w:trPr>
        <w:tc>
          <w:tcPr>
            <w:tcW w:w="10263" w:type="dxa"/>
            <w:gridSpan w:val="3"/>
            <w:tcBorders>
              <w:left w:val="single" w:sz="14" w:space="0" w:color="2F6F73"/>
            </w:tcBorders>
            <w:shd w:fill="EEF5F3"/>
            <w:tcMar>
              <w:top w:w="95" w:type="dxa"/>
              <w:left w:w="150" w:type="dxa"/>
              <w:bottom w:w="95" w:type="dxa"/>
              <w:right w:w="150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 xml:space="preserve">LERNZIEL  </w:t>
            </w:r>
            <w:r>
              <w:rPr>
                <w:rFonts w:eastAsia="Liberation Sans"/>
                <w:b w:val="false"/>
                <w:i w:val="false"/>
                <w:color w:val="1F252A"/>
                <w:sz w:val="16"/>
              </w:rPr>
              <w:t>Teilnehmende unterscheiden sichtbare Häufung von gesellschaftlicher Verbreitung und erkennen, wie Masse und Wiederholung den Eindruck von Normalität beeinflussen können.</w:t>
            </w:r>
          </w:p>
        </w:tc>
      </w:tr>
    </w:tbl>
    <w:p>
      <w:pPr>
        <w:pStyle w:val="Normal"/>
        <w:keepLines/>
        <w:pBdr>
          <w:top w:val="single" w:sz="6" w:space="0" w:color="D5DEE4"/>
        </w:pBdr>
        <w:spacing w:before="140" w:after="0"/>
        <w:rPr/>
      </w:pPr>
      <w:r>
        <w:rPr>
          <w:rFonts w:eastAsia="Liberation Sans"/>
          <w:b/>
          <w:i w:val="false"/>
          <w:color w:val="233B53"/>
          <w:sz w:val="14"/>
        </w:rPr>
        <w:t xml:space="preserve">DATENGRUNDLAGE  </w:t>
      </w:r>
      <w:r>
        <w:rPr>
          <w:rFonts w:eastAsia="Liberation Sans"/>
          <w:b w:val="false"/>
          <w:i w:val="false"/>
          <w:color w:val="5D6870"/>
          <w:sz w:val="14"/>
        </w:rPr>
        <w:t>317 feindselig-abwertende Textkommentare aus einer dokumentierten Facebook-Kommentarspalte. Systematische Fallanalyse, keine repräsentative Untersuchung sozialer Medien. Forschungsbezug: Lerman, Yan &amp; Wu (2016), „The Majority Illusion in Social Networks“.</w:t>
      </w:r>
    </w:p>
    <w:p>
      <w:pPr>
        <w:pStyle w:val="Normal"/>
        <w:keepLines/>
        <w:rPr/>
      </w:pPr>
      <w:r>
        <w:rPr/>
      </w:r>
      <w:r>
        <w:br w:type="page"/>
      </w:r>
    </w:p>
    <w:p>
      <w:pPr>
        <w:pStyle w:val="Normal"/>
        <w:keepLines/>
        <w:spacing w:before="180" w:after="20"/>
        <w:rPr/>
      </w:pPr>
      <w:r>
        <w:rPr>
          <w:rFonts w:eastAsia="Liberation Sans"/>
          <w:b/>
          <w:i w:val="false"/>
          <w:color w:val="233B53"/>
          <w:sz w:val="44"/>
        </w:rPr>
        <w:t>Orientieren &amp; handeln</w:t>
      </w:r>
    </w:p>
    <w:p>
      <w:pPr>
        <w:pStyle w:val="Normal"/>
        <w:keepLines/>
        <w:spacing w:before="0" w:after="120"/>
        <w:rPr/>
      </w:pPr>
      <w:r>
        <w:rPr>
          <w:rFonts w:eastAsia="Liberation Sans"/>
          <w:b/>
          <w:i w:val="false"/>
          <w:color w:val="2F6F73"/>
          <w:sz w:val="22"/>
        </w:rPr>
        <w:t>Was eine Kommentarspalte dir nicht verrät</w:t>
      </w:r>
    </w:p>
    <w:tbl>
      <w:tblPr>
        <w:tblW w:w="10263" w:type="dxa"/>
        <w:jc w:val="center"/>
        <w:tblInd w:w="0" w:type="dxa"/>
        <w:tblLayout w:type="fixed"/>
        <w:tblCellMar>
          <w:top w:w="110" w:type="dxa"/>
          <w:left w:w="160" w:type="dxa"/>
          <w:bottom w:w="105" w:type="dxa"/>
          <w:right w:w="160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>
              <w:left w:val="single" w:sz="16" w:space="0" w:color="2F6F73"/>
            </w:tcBorders>
            <w:shd w:fill="EAF1F6"/>
          </w:tcPr>
          <w:p>
            <w:pPr>
              <w:pStyle w:val="Normal"/>
              <w:spacing w:before="0" w:after="4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>WAS DIESE SEITE LEISTET</w:t>
            </w:r>
          </w:p>
          <w:p>
            <w:pPr>
              <w:pStyle w:val="Normal"/>
              <w:spacing w:before="0" w:after="40"/>
              <w:rPr/>
            </w:pPr>
            <w:r>
              <w:rPr>
                <w:rFonts w:eastAsia="Liberation Sans"/>
                <w:b w:val="false"/>
                <w:i w:val="false"/>
                <w:color w:val="1F252A"/>
                <w:sz w:val="17"/>
              </w:rPr>
              <w:t>Die vier vorherigen Materialien helfen, Abwertungsmuster in einzelnen Kommentaren zu erkennen. Diese Abschlussseite richtet den Blick auf die Kommentarspalte als Ganzes: Welche Schlüsse sind aus Masse, Wiederholung und Sichtbarkeit zulässig – und welche nicht?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1F252A"/>
                <w:sz w:val="17"/>
              </w:rPr>
              <w:t>Ziel ist nicht, Kommentarspalten zu meiden, sondern ihren Eindruck besser einordnen und die eigene Reaktion bewusster wählen zu können.</w:t>
            </w:r>
          </w:p>
        </w:tc>
      </w:tr>
    </w:tbl>
    <w:p>
      <w:pPr>
        <w:pStyle w:val="Normal"/>
        <w:keepLines/>
        <w:spacing w:before="100" w:after="60"/>
        <w:rPr/>
      </w:pPr>
      <w:r>
        <w:rPr>
          <w:rFonts w:eastAsia="Liberation Sans"/>
          <w:b/>
          <w:i w:val="false"/>
          <w:color w:val="233B53"/>
          <w:sz w:val="17"/>
        </w:rPr>
        <w:t>VIER FEHLSCHLÜSSE, DIE MAN VERMEIDEN KANN</w:t>
      </w:r>
    </w:p>
    <w:tbl>
      <w:tblPr>
        <w:tblW w:w="10262" w:type="dxa"/>
        <w:jc w:val="center"/>
        <w:tblInd w:w="0" w:type="dxa"/>
        <w:tblLayout w:type="fixed"/>
        <w:tblCellMar>
          <w:top w:w="105" w:type="dxa"/>
          <w:left w:w="115" w:type="dxa"/>
          <w:bottom w:w="95" w:type="dxa"/>
          <w:right w:w="95" w:type="dxa"/>
        </w:tblCellMar>
        <w:tblLook w:val="04a0" w:noHBand="0" w:noVBand="1" w:firstColumn="1" w:lastRow="0" w:lastColumn="0" w:firstRow="1"/>
      </w:tblPr>
      <w:tblGrid>
        <w:gridCol w:w="3465"/>
        <w:gridCol w:w="6796"/>
      </w:tblGrid>
      <w:tr>
        <w:trPr>
          <w:cantSplit w:val="true"/>
        </w:trPr>
        <w:tc>
          <w:tcPr>
            <w:tcW w:w="3465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vAlign w:val="center"/>
          </w:tcPr>
          <w:p>
            <w:pPr>
              <w:pStyle w:val="Normal"/>
              <w:spacing w:before="0" w:after="20"/>
              <w:rPr/>
            </w:pPr>
            <w:r>
              <w:rPr>
                <w:rFonts w:eastAsia="Liberation Sans"/>
                <w:b/>
                <w:i w:val="false"/>
                <w:color w:val="2F6F73"/>
                <w:sz w:val="14"/>
              </w:rPr>
              <w:t>FEHLSCHLUSS 1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33B53"/>
                <w:sz w:val="17"/>
              </w:rPr>
              <w:t>SICHTBARKEIT ≠ MEHRHEIT</w:t>
            </w:r>
          </w:p>
        </w:tc>
        <w:tc>
          <w:tcPr>
            <w:tcW w:w="6796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tcMar>
              <w:top w:w="100" w:type="dxa"/>
              <w:left w:w="145" w:type="dxa"/>
              <w:right w:w="145" w:type="dxa"/>
            </w:tcMar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rFonts w:eastAsia="Liberation Sans"/>
                <w:b/>
                <w:i w:val="false"/>
                <w:color w:val="1F252A"/>
                <w:sz w:val="18"/>
              </w:rPr>
              <w:t>Viele Kommentare können sehr präsent wirken.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 xml:space="preserve">Orientierung: </w:t>
            </w:r>
            <w:r>
              <w:rPr>
                <w:rFonts w:eastAsia="Liberation Sans"/>
                <w:b w:val="false"/>
                <w:i w:val="false"/>
                <w:color w:val="1F252A"/>
                <w:sz w:val="16"/>
              </w:rPr>
              <w:t>Eine Kommentarspalte bildet weder die Bevölkerung noch alle Leserinnen und Leser repräsentativ ab.</w:t>
            </w:r>
          </w:p>
        </w:tc>
      </w:tr>
    </w:tbl>
    <w:p>
      <w:pPr>
        <w:pStyle w:val="Normal"/>
        <w:keepLines/>
        <w:spacing w:before="0" w:after="10"/>
        <w:rPr/>
      </w:pPr>
      <w:r>
        <w:rPr/>
      </w:r>
    </w:p>
    <w:tbl>
      <w:tblPr>
        <w:tblW w:w="10262" w:type="dxa"/>
        <w:jc w:val="center"/>
        <w:tblInd w:w="0" w:type="dxa"/>
        <w:tblLayout w:type="fixed"/>
        <w:tblCellMar>
          <w:top w:w="105" w:type="dxa"/>
          <w:left w:w="115" w:type="dxa"/>
          <w:bottom w:w="95" w:type="dxa"/>
          <w:right w:w="95" w:type="dxa"/>
        </w:tblCellMar>
        <w:tblLook w:val="04a0" w:noHBand="0" w:noVBand="1" w:firstColumn="1" w:lastRow="0" w:lastColumn="0" w:firstRow="1"/>
      </w:tblPr>
      <w:tblGrid>
        <w:gridCol w:w="3465"/>
        <w:gridCol w:w="6796"/>
      </w:tblGrid>
      <w:tr>
        <w:trPr>
          <w:cantSplit w:val="true"/>
        </w:trPr>
        <w:tc>
          <w:tcPr>
            <w:tcW w:w="3465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vAlign w:val="center"/>
          </w:tcPr>
          <w:p>
            <w:pPr>
              <w:pStyle w:val="Normal"/>
              <w:spacing w:before="0" w:after="20"/>
              <w:rPr/>
            </w:pPr>
            <w:r>
              <w:rPr>
                <w:rFonts w:eastAsia="Liberation Sans"/>
                <w:b/>
                <w:i w:val="false"/>
                <w:color w:val="2F6F73"/>
                <w:sz w:val="14"/>
              </w:rPr>
              <w:t>FEHLSCHLUSS 2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33B53"/>
                <w:sz w:val="17"/>
              </w:rPr>
              <w:t>ÄHNLICHKEIT ≠ UNABHÄNGIGKEIT</w:t>
            </w:r>
          </w:p>
        </w:tc>
        <w:tc>
          <w:tcPr>
            <w:tcW w:w="6796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tcMar>
              <w:top w:w="100" w:type="dxa"/>
              <w:left w:w="145" w:type="dxa"/>
              <w:right w:w="145" w:type="dxa"/>
            </w:tcMar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rFonts w:eastAsia="Liberation Sans"/>
                <w:b/>
                <w:i w:val="false"/>
                <w:color w:val="1F252A"/>
                <w:sz w:val="18"/>
              </w:rPr>
              <w:t>Ähnliche Formulierungen wirken schnell wie viele getrennte Bestätigungen.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 xml:space="preserve">Orientierung: </w:t>
            </w:r>
            <w:r>
              <w:rPr>
                <w:rFonts w:eastAsia="Liberation Sans"/>
                <w:b w:val="false"/>
                <w:i w:val="false"/>
                <w:color w:val="1F252A"/>
                <w:sz w:val="16"/>
              </w:rPr>
              <w:t>Menschen reagieren aufeinander, greifen Codes auf und bewegen sich in denselben sichtbaren Kommunikationsräumen.</w:t>
            </w:r>
          </w:p>
        </w:tc>
      </w:tr>
    </w:tbl>
    <w:p>
      <w:pPr>
        <w:pStyle w:val="Normal"/>
        <w:keepLines/>
        <w:spacing w:before="0" w:after="10"/>
        <w:rPr/>
      </w:pPr>
      <w:r>
        <w:rPr/>
      </w:r>
    </w:p>
    <w:tbl>
      <w:tblPr>
        <w:tblW w:w="10262" w:type="dxa"/>
        <w:jc w:val="center"/>
        <w:tblInd w:w="0" w:type="dxa"/>
        <w:tblLayout w:type="fixed"/>
        <w:tblCellMar>
          <w:top w:w="105" w:type="dxa"/>
          <w:left w:w="115" w:type="dxa"/>
          <w:bottom w:w="95" w:type="dxa"/>
          <w:right w:w="95" w:type="dxa"/>
        </w:tblCellMar>
        <w:tblLook w:val="04a0" w:noHBand="0" w:noVBand="1" w:firstColumn="1" w:lastRow="0" w:lastColumn="0" w:firstRow="1"/>
      </w:tblPr>
      <w:tblGrid>
        <w:gridCol w:w="3465"/>
        <w:gridCol w:w="6796"/>
      </w:tblGrid>
      <w:tr>
        <w:trPr>
          <w:cantSplit w:val="true"/>
        </w:trPr>
        <w:tc>
          <w:tcPr>
            <w:tcW w:w="3465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vAlign w:val="center"/>
          </w:tcPr>
          <w:p>
            <w:pPr>
              <w:pStyle w:val="Normal"/>
              <w:spacing w:before="0" w:after="20"/>
              <w:rPr/>
            </w:pPr>
            <w:r>
              <w:rPr>
                <w:rFonts w:eastAsia="Liberation Sans"/>
                <w:b/>
                <w:i w:val="false"/>
                <w:color w:val="2F6F73"/>
                <w:sz w:val="14"/>
              </w:rPr>
              <w:t>FEHLSCHLUSS 3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33B53"/>
                <w:sz w:val="17"/>
              </w:rPr>
              <w:t>WIEDERHOLUNG ≠ WAHRHEIT</w:t>
            </w:r>
          </w:p>
        </w:tc>
        <w:tc>
          <w:tcPr>
            <w:tcW w:w="6796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tcMar>
              <w:top w:w="100" w:type="dxa"/>
              <w:left w:w="145" w:type="dxa"/>
              <w:right w:w="145" w:type="dxa"/>
            </w:tcMar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rFonts w:eastAsia="Liberation Sans"/>
                <w:b/>
                <w:i w:val="false"/>
                <w:color w:val="1F252A"/>
                <w:sz w:val="18"/>
              </w:rPr>
              <w:t>Eine Behauptung kann dutzendfach auftauchen und trotzdem unbelegt bleiben.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 xml:space="preserve">Orientierung: </w:t>
            </w:r>
            <w:r>
              <w:rPr>
                <w:rFonts w:eastAsia="Liberation Sans"/>
                <w:b w:val="false"/>
                <w:i w:val="false"/>
                <w:color w:val="1F252A"/>
                <w:sz w:val="16"/>
              </w:rPr>
              <w:t>Häufigkeit ersetzt weder Quelle noch Argument noch Überprüfung.</w:t>
            </w:r>
          </w:p>
        </w:tc>
      </w:tr>
    </w:tbl>
    <w:p>
      <w:pPr>
        <w:pStyle w:val="Normal"/>
        <w:keepLines/>
        <w:spacing w:before="0" w:after="10"/>
        <w:rPr/>
      </w:pPr>
      <w:r>
        <w:rPr/>
      </w:r>
    </w:p>
    <w:tbl>
      <w:tblPr>
        <w:tblW w:w="10262" w:type="dxa"/>
        <w:jc w:val="center"/>
        <w:tblInd w:w="0" w:type="dxa"/>
        <w:tblLayout w:type="fixed"/>
        <w:tblCellMar>
          <w:top w:w="105" w:type="dxa"/>
          <w:left w:w="115" w:type="dxa"/>
          <w:bottom w:w="95" w:type="dxa"/>
          <w:right w:w="95" w:type="dxa"/>
        </w:tblCellMar>
        <w:tblLook w:val="04a0" w:noHBand="0" w:noVBand="1" w:firstColumn="1" w:lastRow="0" w:lastColumn="0" w:firstRow="1"/>
      </w:tblPr>
      <w:tblGrid>
        <w:gridCol w:w="3465"/>
        <w:gridCol w:w="6796"/>
      </w:tblGrid>
      <w:tr>
        <w:trPr>
          <w:cantSplit w:val="true"/>
        </w:trPr>
        <w:tc>
          <w:tcPr>
            <w:tcW w:w="3465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vAlign w:val="center"/>
          </w:tcPr>
          <w:p>
            <w:pPr>
              <w:pStyle w:val="Normal"/>
              <w:spacing w:before="0" w:after="20"/>
              <w:rPr/>
            </w:pPr>
            <w:r>
              <w:rPr>
                <w:rFonts w:eastAsia="Liberation Sans"/>
                <w:b/>
                <w:i w:val="false"/>
                <w:color w:val="2F6F73"/>
                <w:sz w:val="14"/>
              </w:rPr>
              <w:t>FEHLSCHLUSS 4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33B53"/>
                <w:sz w:val="17"/>
              </w:rPr>
              <w:t>SICHTBARKEIT ≠ NORMALITÄT</w:t>
            </w:r>
          </w:p>
        </w:tc>
        <w:tc>
          <w:tcPr>
            <w:tcW w:w="6796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AF3F1"/>
            <w:tcMar>
              <w:top w:w="100" w:type="dxa"/>
              <w:left w:w="145" w:type="dxa"/>
              <w:right w:w="145" w:type="dxa"/>
            </w:tcMar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rFonts w:eastAsia="Liberation Sans"/>
                <w:b/>
                <w:i w:val="false"/>
                <w:color w:val="1F252A"/>
                <w:sz w:val="18"/>
              </w:rPr>
              <w:t>Dominanz in einem Kommentarbereich kann wie gesellschaftliche Akzeptanz aussehen.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 xml:space="preserve">Orientierung: </w:t>
            </w:r>
            <w:r>
              <w:rPr>
                <w:rFonts w:eastAsia="Liberation Sans"/>
                <w:b w:val="false"/>
                <w:i w:val="false"/>
                <w:color w:val="1F252A"/>
                <w:sz w:val="16"/>
              </w:rPr>
              <w:t>Was hier oft gesagt wird, muss außerhalb dieses Raumes weder verbreitet noch akzeptiert sein.</w:t>
            </w:r>
          </w:p>
        </w:tc>
      </w:tr>
    </w:tbl>
    <w:p>
      <w:pPr>
        <w:pStyle w:val="Normal"/>
        <w:keepLines/>
        <w:spacing w:before="0" w:after="10"/>
        <w:rPr/>
      </w:pPr>
      <w:r>
        <w:rPr/>
      </w:r>
    </w:p>
    <w:tbl>
      <w:tblPr>
        <w:tblW w:w="10262" w:type="dxa"/>
        <w:jc w:val="center"/>
        <w:tblInd w:w="0" w:type="dxa"/>
        <w:tblLayout w:type="fixed"/>
        <w:tblCellMar>
          <w:top w:w="105" w:type="dxa"/>
          <w:left w:w="115" w:type="dxa"/>
          <w:bottom w:w="95" w:type="dxa"/>
          <w:right w:w="95" w:type="dxa"/>
        </w:tblCellMar>
        <w:tblLook w:val="04a0" w:noHBand="0" w:noVBand="1" w:firstColumn="1" w:lastRow="0" w:lastColumn="0" w:firstRow="1"/>
      </w:tblPr>
      <w:tblGrid>
        <w:gridCol w:w="3465"/>
        <w:gridCol w:w="6796"/>
      </w:tblGrid>
      <w:tr>
        <w:trPr>
          <w:cantSplit w:val="true"/>
        </w:trPr>
        <w:tc>
          <w:tcPr>
            <w:tcW w:w="3465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8F1F5"/>
            <w:vAlign w:val="center"/>
          </w:tcPr>
          <w:p>
            <w:pPr>
              <w:pStyle w:val="Normal"/>
              <w:spacing w:before="0" w:after="20"/>
              <w:rPr/>
            </w:pPr>
            <w:r>
              <w:rPr>
                <w:rFonts w:eastAsia="Liberation Sans"/>
                <w:b/>
                <w:i w:val="false"/>
                <w:color w:val="2F6F73"/>
                <w:sz w:val="14"/>
              </w:rPr>
              <w:t>UNSER FALL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33B53"/>
                <w:sz w:val="20"/>
              </w:rPr>
              <w:t>317 · 258 · 220</w:t>
            </w:r>
          </w:p>
        </w:tc>
        <w:tc>
          <w:tcPr>
            <w:tcW w:w="6796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8F1F5"/>
            <w:tcMar>
              <w:top w:w="100" w:type="dxa"/>
              <w:left w:w="145" w:type="dxa"/>
              <w:right w:w="145" w:type="dxa"/>
            </w:tcMar>
            <w:vAlign w:val="center"/>
          </w:tcPr>
          <w:p>
            <w:pPr>
              <w:pStyle w:val="Normal"/>
              <w:spacing w:before="0" w:after="60"/>
              <w:rPr/>
            </w:pPr>
            <w:r>
              <w:rPr>
                <w:rFonts w:eastAsia="Liberation Sans"/>
                <w:b/>
                <w:i w:val="false"/>
                <w:color w:val="1F252A"/>
                <w:sz w:val="19"/>
              </w:rPr>
              <w:t>Was können wir daraus schließen?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 xml:space="preserve">Sauberer Schluss: </w:t>
            </w:r>
            <w:r>
              <w:rPr>
                <w:rFonts w:eastAsia="Liberation Sans"/>
                <w:b w:val="false"/>
                <w:i w:val="false"/>
                <w:color w:val="1F252A"/>
                <w:sz w:val="16"/>
              </w:rPr>
              <w:t>Wir sehen eine reale Häufung abwertender Kommunikation in diesem konkreten Raum. Über die Verteilung solcher Einstellungen außerhalb dieser Kommentarspalte sagt sie zunächst nichts aus.</w:t>
            </w:r>
          </w:p>
        </w:tc>
      </w:tr>
    </w:tbl>
    <w:p>
      <w:pPr>
        <w:pStyle w:val="Normal"/>
        <w:keepLines/>
        <w:spacing w:before="0" w:after="10"/>
        <w:rPr/>
      </w:pPr>
      <w:r>
        <w:rPr/>
      </w:r>
    </w:p>
    <w:p>
      <w:pPr>
        <w:pStyle w:val="Normal"/>
        <w:keepLines/>
        <w:spacing w:before="80" w:after="60"/>
        <w:rPr/>
      </w:pPr>
      <w:r>
        <w:rPr>
          <w:rFonts w:eastAsia="Liberation Sans"/>
          <w:b/>
          <w:i w:val="false"/>
          <w:color w:val="233B53"/>
          <w:sz w:val="17"/>
        </w:rPr>
        <w:t xml:space="preserve">LIES DIE </w:t>
      </w:r>
      <w:r>
        <w:rPr>
          <w:rFonts w:eastAsia="Liberation Sans"/>
          <w:b/>
          <w:i w:val="false"/>
          <w:color w:val="233B53"/>
          <w:sz w:val="17"/>
        </w:rPr>
        <w:t>MUSTER</w:t>
      </w:r>
    </w:p>
    <w:tbl>
      <w:tblPr>
        <w:tblW w:w="10263" w:type="dxa"/>
        <w:jc w:val="center"/>
        <w:tblInd w:w="0" w:type="dxa"/>
        <w:tblLayout w:type="fixed"/>
        <w:tblCellMar>
          <w:top w:w="110" w:type="dxa"/>
          <w:left w:w="165" w:type="dxa"/>
          <w:bottom w:w="105" w:type="dxa"/>
          <w:right w:w="165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/>
            <w:shd w:fill="233B53"/>
          </w:tcPr>
          <w:p>
            <w:pPr>
              <w:pStyle w:val="Normal"/>
              <w:spacing w:before="0" w:after="60"/>
              <w:rPr/>
            </w:pPr>
            <w:r>
              <w:rPr>
                <w:rFonts w:eastAsia="Liberation Sans"/>
                <w:b/>
                <w:i w:val="false"/>
                <w:color w:val="FFFFFF"/>
                <w:sz w:val="16"/>
              </w:rPr>
              <w:t>1  Wird aus einer politischen Position ein vermeintlicher Menschentyp?</w:t>
            </w:r>
          </w:p>
          <w:p>
            <w:pPr>
              <w:pStyle w:val="Normal"/>
              <w:spacing w:before="0" w:after="60"/>
              <w:rPr/>
            </w:pPr>
            <w:r>
              <w:rPr>
                <w:rFonts w:eastAsia="Liberation Sans"/>
                <w:b/>
                <w:i w:val="false"/>
                <w:color w:val="FFFFFF"/>
                <w:sz w:val="16"/>
              </w:rPr>
              <w:t>2  Wird aus Verschiedenheit eine Rangordnung menschlichen oder gesellschaftlichen Werts?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FFFFFF"/>
                <w:sz w:val="16"/>
              </w:rPr>
              <w:t>3  Wird der Sprecher entwertet, statt sein Argument zu prüfen?</w:t>
            </w:r>
          </w:p>
          <w:p>
            <w:pPr>
              <w:pStyle w:val="Normal"/>
              <w:rPr/>
            </w:pPr>
            <w:r>
              <w:rPr>
                <w:rFonts w:eastAsia="Liberation Sans"/>
                <w:b/>
                <w:i w:val="false"/>
                <w:color w:val="FFFFFF"/>
                <w:sz w:val="16"/>
              </w:rPr>
              <w:t>4  Richtet sich der Kommentar möglicherweise vor allem an ein zustimmendes Publikum?</w:t>
            </w:r>
          </w:p>
          <w:p>
            <w:pPr>
              <w:pStyle w:val="Normal"/>
              <w:widowControl/>
              <w:bidi w:val="0"/>
              <w:spacing w:lineRule="auto" w:line="259" w:before="0" w:after="70"/>
              <w:jc w:val="left"/>
              <w:rPr/>
            </w:pPr>
            <w:r>
              <w:rPr>
                <w:rFonts w:eastAsia="Liberation Sans"/>
                <w:b/>
                <w:i w:val="false"/>
                <w:color w:val="FFFFFF"/>
                <w:sz w:val="16"/>
              </w:rPr>
              <w:t>5  Was macht die Menge und Wiederholung mit meinem Eindruck davon, was hier „normal“ oder mehrheitsfähig ist?</w:t>
            </w:r>
          </w:p>
        </w:tc>
      </w:tr>
      <w:tr>
        <w:trPr>
          <w:cantSplit w:val="true"/>
        </w:trPr>
        <w:tc>
          <w:tcPr>
            <w:tcW w:w="10263" w:type="dxa"/>
            <w:tcBorders>
              <w:left w:val="single" w:sz="14" w:space="0" w:color="2F6F73"/>
            </w:tcBorders>
            <w:shd w:fill="EEF5F3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eastAsia="Liberation Sans"/>
                <w:b/>
                <w:i w:val="false"/>
                <w:color w:val="2F6F73"/>
                <w:sz w:val="16"/>
              </w:rPr>
              <w:t>ERKENNEN · EINORDNEN · ENTSCHEIDEN</w:t>
            </w:r>
          </w:p>
          <w:p>
            <w:pPr>
              <w:pStyle w:val="Normal"/>
              <w:rPr/>
            </w:pPr>
            <w:r>
              <w:rPr>
                <w:rFonts w:eastAsia="Liberation Sans"/>
                <w:b w:val="false"/>
                <w:i w:val="false"/>
                <w:color w:val="1F252A"/>
                <w:sz w:val="15"/>
              </w:rPr>
              <w:t>Erkennen: Welches Muster läuft gerade?  ·  Einordnen: Was weiß ich tatsächlich – und was suggeriert mir nur die Kommentarspalte?  ·  Entscheiden: Widersprechen, eine andere Norm sichtbar machen, moderieren/melden, ignorieren oder den Raum verlassen.</w:t>
            </w:r>
          </w:p>
          <w:p>
            <w:pPr>
              <w:pStyle w:val="Normal"/>
              <w:rPr/>
            </w:pPr>
            <w:r>
              <w:rPr>
                <w:rFonts w:eastAsia="Liberation Sans"/>
                <w:b/>
                <w:i w:val="false"/>
                <w:color w:val="233B53"/>
                <w:sz w:val="16"/>
              </w:rPr>
              <w:t>Du musst nicht jeden Kommentierenden überzeugen. Antworten ist eine Möglichkeit – keine Pflicht.</w:t>
            </w:r>
          </w:p>
          <w:p>
            <w:pPr>
              <w:pStyle w:val="Normal"/>
              <w:widowControl/>
              <w:bidi w:val="0"/>
              <w:spacing w:lineRule="auto" w:line="259" w:before="0" w:after="70"/>
              <w:jc w:val="left"/>
              <w:rPr/>
            </w:pPr>
            <w:r>
              <w:rPr>
                <w:rFonts w:eastAsia="Liberation Sans"/>
                <w:b/>
                <w:i w:val="false"/>
                <w:color w:val="2F6F73"/>
                <w:sz w:val="21"/>
              </w:rPr>
              <w:t>Lies nicht nur die Kommentare. Lies das Muster.</w:t>
            </w:r>
          </w:p>
        </w:tc>
      </w:tr>
    </w:tbl>
    <w:p>
      <w:pPr>
        <w:pStyle w:val="Normal"/>
        <w:keepLines/>
        <w:pBdr>
          <w:top w:val="single" w:sz="6" w:space="0" w:color="D5DEE4"/>
        </w:pBdr>
        <w:spacing w:before="80" w:after="0"/>
        <w:rPr/>
      </w:pPr>
      <w:r>
        <w:rPr>
          <w:rFonts w:eastAsia="Liberation Sans"/>
          <w:b/>
          <w:i w:val="false"/>
          <w:color w:val="233B53"/>
          <w:sz w:val="14"/>
        </w:rPr>
        <w:t xml:space="preserve">QUELLENHINWEIS  </w:t>
      </w:r>
      <w:r>
        <w:rPr>
          <w:rFonts w:eastAsia="Liberation Sans"/>
          <w:b w:val="false"/>
          <w:i w:val="false"/>
          <w:color w:val="5D6870"/>
          <w:sz w:val="14"/>
        </w:rPr>
        <w:t>Eigene Fallanalyse: Kommentarspalte-Arbeitsdatensatz v0.6. Forschungsbezug: Lerman, K.; Yan, X.; Wu, X.-Z. (2016): The „Majority Illusion“ in Social Networks. PLOS ONE 11(2), e0147617. doi:10.1371/journal.pone.0147617.</w:t>
      </w:r>
    </w:p>
    <w:sectPr>
      <w:headerReference w:type="default" r:id="rId2"/>
      <w:footerReference w:type="default" r:id="rId3"/>
      <w:type w:val="nextPage"/>
      <w:pgSz w:w="11906" w:h="16838"/>
      <w:pgMar w:left="822" w:right="822" w:gutter="0" w:header="709" w:top="1410" w:footer="652" w:bottom="111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b/>
        <w:bCs/>
        <w:sz w:val="16"/>
        <w:szCs w:val="16"/>
      </w:rPr>
    </w:pPr>
    <w:r>
      <w:rPr>
        <w:b/>
        <w:bCs/>
        <w:sz w:val="16"/>
        <w:szCs w:val="16"/>
      </w:rPr>
      <w:t>OER Material nach Lizenz: CC-NC-BY-SA - Merten Giesen 2026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before="0" w:after="120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KOMMENTARSPALTEN RICHTIG LESEN </w:t>
    </w:r>
    <w:r>
      <w:rPr>
        <w:b/>
        <w:bCs/>
        <w:sz w:val="24"/>
        <w:szCs w:val="24"/>
      </w:rPr>
      <w:t>5</w:t>
    </w:r>
    <w:r>
      <w:rPr>
        <w:b/>
        <w:bCs/>
        <w:sz w:val="24"/>
        <w:szCs w:val="24"/>
      </w:rPr>
      <w:t>/5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70"/>
      <w:jc w:val="left"/>
    </w:pPr>
    <w:rPr>
      <w:rFonts w:ascii="Liberation Sans" w:hAnsi="Liberation Sans" w:eastAsia="ＭＳ 明朝" w:cs=""/>
      <w:color w:val="1F252A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7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FreeSans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7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7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7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7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7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7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7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7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7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LibreOffice/24.2.7.2$Linux_X86_64 LibreOffice_project/420$Build-2</Application>
  <AppVersion>15.0000</AppVersion>
  <Pages>2</Pages>
  <Words>696</Words>
  <Characters>4810</Characters>
  <CharactersWithSpaces>5455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Merten Giesen</dc:creator>
  <dc:description>generated by python-docx</dc:description>
  <dc:language>de-DE</dc:language>
  <cp:lastModifiedBy/>
  <dcterms:modified xsi:type="dcterms:W3CDTF">2026-08-28T12:54:30Z</dcterms:modified>
  <cp:revision>2</cp:revision>
  <dc:subject>Spott als Ingroup-Kommunikation</dc:subject>
  <dc:title>Kommentarspalten lesen lernen – One-Pager 4 (zweiseitig)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