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Lines/>
        <w:spacing w:before="200" w:after="40"/>
        <w:rPr>
          <w:lang w:val="de-DE"/>
        </w:rPr>
      </w:pPr>
      <w:r>
        <w:rPr/>
      </w:r>
    </w:p>
    <w:p>
      <w:pPr>
        <w:pStyle w:val="Normal"/>
        <w:spacing w:before="200" w:after="40"/>
        <w:rPr>
          <w:lang w:val="de-DE"/>
        </w:rPr>
      </w:pPr>
      <w:r>
        <w:rPr>
          <w:b/>
          <w:i w:val="false"/>
          <w:color w:val="233B53"/>
          <w:sz w:val="44"/>
          <w:lang w:val="de-DE"/>
        </w:rPr>
        <w:t>Der Kommentar gilt auch dem Publikum</w:t>
      </w:r>
    </w:p>
    <w:p>
      <w:pPr>
        <w:pStyle w:val="Normal"/>
        <w:keepLines/>
        <w:spacing w:before="0" w:after="160"/>
        <w:rPr>
          <w:lang w:val="de-DE"/>
        </w:rPr>
      </w:pPr>
      <w:r>
        <w:rPr>
          <w:b/>
          <w:i w:val="false"/>
          <w:color w:val="2F6F73"/>
          <w:sz w:val="23"/>
          <w:lang w:val="de-DE"/>
        </w:rPr>
        <w:t>Spott als Ingroup-Kommunikation</w:t>
      </w:r>
    </w:p>
    <w:tbl>
      <w:tblPr>
        <w:tblW w:w="10263" w:type="dxa"/>
        <w:jc w:val="center"/>
        <w:tblInd w:w="0" w:type="dxa"/>
        <w:tblLayout w:type="fixed"/>
        <w:tblCellMar>
          <w:top w:w="165" w:type="dxa"/>
          <w:left w:w="190" w:type="dxa"/>
          <w:bottom w:w="165" w:type="dxa"/>
          <w:right w:w="190" w:type="dxa"/>
        </w:tblCellMar>
        <w:tblLook w:val="04a0" w:noHBand="0" w:noVBand="1" w:firstColumn="1" w:lastRow="0" w:lastColumn="0" w:firstRow="1"/>
      </w:tblPr>
      <w:tblGrid>
        <w:gridCol w:w="10263"/>
      </w:tblGrid>
      <w:tr>
        <w:trPr>
          <w:cantSplit w:val="true"/>
        </w:trPr>
        <w:tc>
          <w:tcPr>
            <w:tcW w:w="10263" w:type="dxa"/>
            <w:tcBorders>
              <w:left w:val="single" w:sz="18" w:space="0" w:color="2F6F73"/>
            </w:tcBorders>
            <w:shd w:fill="EAF1F6"/>
          </w:tcPr>
          <w:p>
            <w:pPr>
              <w:pStyle w:val="Normal"/>
              <w:spacing w:before="0" w:after="40"/>
              <w:rPr>
                <w:lang w:val="de-DE"/>
              </w:rPr>
            </w:pPr>
            <w:r>
              <w:rPr>
                <w:b/>
                <w:i w:val="false"/>
                <w:color w:val="2F6F73"/>
                <w:sz w:val="17"/>
                <w:lang w:val="de-DE"/>
              </w:rPr>
              <w:t>KERNTHESE</w:t>
            </w:r>
          </w:p>
          <w:p>
            <w:pPr>
              <w:pStyle w:val="Normal"/>
              <w:spacing w:before="0" w:after="0"/>
              <w:rPr>
                <w:lang w:val="de-DE"/>
              </w:rPr>
            </w:pPr>
            <w:r>
              <w:rPr>
                <w:b/>
                <w:i w:val="false"/>
                <w:color w:val="1F252A"/>
                <w:sz w:val="21"/>
                <w:lang w:val="de-DE"/>
              </w:rPr>
              <w:t>Nicht jeder aggressive Kommentar versucht, den politischen Gegner zu überzeugen. Manche Beiträge funktionieren vor allem als Signal an Gleichgesinnte: Sie zeigen Zugehörigkeit, gemeinsame Codes und darüber, wer gemeinsam verspottet wird.</w:t>
            </w:r>
          </w:p>
        </w:tc>
      </w:tr>
    </w:tbl>
    <w:p>
      <w:pPr>
        <w:pStyle w:val="Normal"/>
        <w:keepLines/>
        <w:spacing w:before="180" w:after="60"/>
        <w:rPr>
          <w:lang w:val="de-DE"/>
        </w:rPr>
      </w:pPr>
      <w:r>
        <w:rPr/>
      </w:r>
    </w:p>
    <w:p>
      <w:pPr>
        <w:pStyle w:val="Normal"/>
        <w:spacing w:before="180" w:after="60"/>
        <w:rPr>
          <w:lang w:val="de-DE"/>
        </w:rPr>
      </w:pPr>
      <w:r>
        <w:rPr>
          <w:b/>
          <w:i w:val="false"/>
          <w:color w:val="233B53"/>
          <w:sz w:val="17"/>
          <w:lang w:val="de-DE"/>
        </w:rPr>
        <w:t>WAS WIR IM MATERIAL SEHEN</w:t>
      </w:r>
    </w:p>
    <w:tbl>
      <w:tblPr>
        <w:tblW w:w="10263" w:type="dxa"/>
        <w:jc w:val="center"/>
        <w:tblInd w:w="0" w:type="dxa"/>
        <w:tblLayout w:type="fixed"/>
        <w:tblCellMar>
          <w:top w:w="130" w:type="dxa"/>
          <w:left w:w="130" w:type="dxa"/>
          <w:bottom w:w="120" w:type="dxa"/>
          <w:right w:w="130" w:type="dxa"/>
        </w:tblCellMar>
        <w:tblLook w:val="04a0" w:noHBand="0" w:noVBand="1" w:firstColumn="1" w:lastRow="0" w:lastColumn="0" w:firstRow="1"/>
      </w:tblPr>
      <w:tblGrid>
        <w:gridCol w:w="3421"/>
        <w:gridCol w:w="3421"/>
        <w:gridCol w:w="3421"/>
      </w:tblGrid>
      <w:tr>
        <w:trPr>
          <w:cantSplit w:val="true"/>
        </w:trPr>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lang w:val="de-DE"/>
              </w:rPr>
            </w:pPr>
            <w:r>
              <w:rPr>
                <w:b/>
                <w:i w:val="false"/>
                <w:color w:val="233B53"/>
                <w:sz w:val="40"/>
                <w:lang w:val="de-DE"/>
              </w:rPr>
              <w:t>54</w:t>
            </w:r>
          </w:p>
          <w:p>
            <w:pPr>
              <w:pStyle w:val="Normal"/>
              <w:spacing w:before="0" w:after="20"/>
              <w:jc w:val="center"/>
              <w:rPr>
                <w:lang w:val="de-DE"/>
              </w:rPr>
            </w:pPr>
            <w:r>
              <w:rPr>
                <w:b/>
                <w:i w:val="false"/>
                <w:color w:val="2F6F73"/>
                <w:sz w:val="16"/>
                <w:lang w:val="de-DE"/>
              </w:rPr>
              <w:t>Kommentare</w:t>
            </w:r>
          </w:p>
          <w:p>
            <w:pPr>
              <w:pStyle w:val="Normal"/>
              <w:spacing w:before="0" w:after="20"/>
              <w:jc w:val="center"/>
              <w:rPr>
                <w:lang w:val="de-DE"/>
              </w:rPr>
            </w:pPr>
            <w:r>
              <w:rPr>
                <w:b/>
                <w:i w:val="false"/>
                <w:color w:val="1F252A"/>
                <w:sz w:val="16"/>
                <w:lang w:val="de-DE"/>
              </w:rPr>
              <w:t>mit performativer Ingroup-/Spottkommunikation</w:t>
            </w:r>
          </w:p>
          <w:p>
            <w:pPr>
              <w:pStyle w:val="Normal"/>
              <w:spacing w:before="0" w:after="0"/>
              <w:jc w:val="center"/>
              <w:rPr>
                <w:lang w:val="de-DE"/>
              </w:rPr>
            </w:pPr>
            <w:r>
              <w:rPr>
                <w:b w:val="false"/>
                <w:i w:val="false"/>
                <w:color w:val="5D6870"/>
                <w:sz w:val="15"/>
                <w:lang w:val="de-DE"/>
              </w:rPr>
              <w:t>17,0 % der 317 Fälle</w:t>
            </w:r>
          </w:p>
        </w:tc>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lang w:val="de-DE"/>
              </w:rPr>
            </w:pPr>
            <w:r>
              <w:rPr>
                <w:b/>
                <w:i w:val="false"/>
                <w:color w:val="233B53"/>
                <w:sz w:val="40"/>
                <w:lang w:val="de-DE"/>
              </w:rPr>
              <w:t>49</w:t>
            </w:r>
          </w:p>
          <w:p>
            <w:pPr>
              <w:pStyle w:val="Normal"/>
              <w:spacing w:before="0" w:after="20"/>
              <w:jc w:val="center"/>
              <w:rPr>
                <w:lang w:val="de-DE"/>
              </w:rPr>
            </w:pPr>
            <w:r>
              <w:rPr>
                <w:b/>
                <w:i w:val="false"/>
                <w:color w:val="2F6F73"/>
                <w:sz w:val="16"/>
                <w:lang w:val="de-DE"/>
              </w:rPr>
              <w:t>Accounts</w:t>
            </w:r>
          </w:p>
          <w:p>
            <w:pPr>
              <w:pStyle w:val="Normal"/>
              <w:spacing w:before="0" w:after="20"/>
              <w:jc w:val="center"/>
              <w:rPr>
                <w:lang w:val="de-DE"/>
              </w:rPr>
            </w:pPr>
            <w:r>
              <w:rPr>
                <w:b/>
                <w:i w:val="false"/>
                <w:color w:val="1F252A"/>
                <w:sz w:val="16"/>
                <w:lang w:val="de-DE"/>
              </w:rPr>
              <w:t>hinter diesen 54 Kommentaren</w:t>
            </w:r>
          </w:p>
          <w:p>
            <w:pPr>
              <w:pStyle w:val="Normal"/>
              <w:spacing w:before="0" w:after="0"/>
              <w:jc w:val="center"/>
              <w:rPr>
                <w:lang w:val="de-DE"/>
              </w:rPr>
            </w:pPr>
            <w:r>
              <w:rPr>
                <w:b w:val="false"/>
                <w:i w:val="false"/>
                <w:color w:val="5D6870"/>
                <w:sz w:val="15"/>
                <w:lang w:val="de-DE"/>
              </w:rPr>
              <w:t>kein Effekt weniger Vielschreiber</w:t>
            </w:r>
          </w:p>
        </w:tc>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lang w:val="de-DE"/>
              </w:rPr>
            </w:pPr>
            <w:r>
              <w:rPr>
                <w:b/>
                <w:i w:val="false"/>
                <w:color w:val="233B53"/>
                <w:sz w:val="40"/>
                <w:lang w:val="de-DE"/>
              </w:rPr>
              <w:t>28</w:t>
            </w:r>
          </w:p>
          <w:p>
            <w:pPr>
              <w:pStyle w:val="Normal"/>
              <w:spacing w:before="0" w:after="20"/>
              <w:jc w:val="center"/>
              <w:rPr>
                <w:lang w:val="de-DE"/>
              </w:rPr>
            </w:pPr>
            <w:r>
              <w:rPr>
                <w:b/>
                <w:i w:val="false"/>
                <w:color w:val="2F6F73"/>
                <w:sz w:val="16"/>
                <w:lang w:val="de-DE"/>
              </w:rPr>
              <w:t>Kommentare</w:t>
            </w:r>
          </w:p>
          <w:p>
            <w:pPr>
              <w:pStyle w:val="Normal"/>
              <w:spacing w:before="0" w:after="20"/>
              <w:jc w:val="center"/>
              <w:rPr>
                <w:lang w:val="de-DE"/>
              </w:rPr>
            </w:pPr>
            <w:r>
              <w:rPr>
                <w:b/>
                <w:i w:val="false"/>
                <w:color w:val="1F252A"/>
                <w:sz w:val="16"/>
                <w:lang w:val="de-DE"/>
              </w:rPr>
              <w:t>mit Spott + persönlicher Herabsetzung</w:t>
            </w:r>
          </w:p>
          <w:p>
            <w:pPr>
              <w:pStyle w:val="Normal"/>
              <w:spacing w:before="0" w:after="0"/>
              <w:jc w:val="center"/>
              <w:rPr>
                <w:lang w:val="de-DE"/>
              </w:rPr>
            </w:pPr>
            <w:r>
              <w:rPr>
                <w:b w:val="false"/>
                <w:i w:val="false"/>
                <w:color w:val="5D6870"/>
                <w:sz w:val="15"/>
                <w:lang w:val="de-DE"/>
              </w:rPr>
              <w:t>häufigste Kopplung des Musters</w:t>
            </w:r>
          </w:p>
        </w:tc>
      </w:tr>
    </w:tbl>
    <w:p>
      <w:pPr>
        <w:pStyle w:val="Normal"/>
        <w:keepLines/>
        <w:spacing w:before="160" w:after="60"/>
        <w:rPr>
          <w:lang w:val="de-DE"/>
        </w:rPr>
      </w:pPr>
      <w:r>
        <w:rPr/>
      </w:r>
    </w:p>
    <w:p>
      <w:pPr>
        <w:pStyle w:val="Normal"/>
        <w:spacing w:before="160" w:after="60"/>
        <w:rPr>
          <w:lang w:val="de-DE"/>
        </w:rPr>
      </w:pPr>
      <w:r>
        <w:rPr>
          <w:b/>
          <w:i w:val="false"/>
          <w:color w:val="233B53"/>
          <w:sz w:val="17"/>
          <w:lang w:val="de-DE"/>
        </w:rPr>
        <w:t>WAS SPRACHLICH PASSIERT</w:t>
      </w:r>
    </w:p>
    <w:tbl>
      <w:tblPr>
        <w:tblW w:w="10263" w:type="dxa"/>
        <w:jc w:val="center"/>
        <w:tblInd w:w="0" w:type="dxa"/>
        <w:tblLayout w:type="fixed"/>
        <w:tblCellMar>
          <w:top w:w="50" w:type="dxa"/>
          <w:left w:w="0" w:type="dxa"/>
          <w:bottom w:w="40" w:type="dxa"/>
          <w:right w:w="170" w:type="dxa"/>
        </w:tblCellMar>
        <w:tblLook w:val="04a0" w:noHBand="0" w:noVBand="1" w:firstColumn="1" w:lastRow="0" w:lastColumn="0" w:firstRow="1"/>
      </w:tblPr>
      <w:tblGrid>
        <w:gridCol w:w="5131"/>
        <w:gridCol w:w="5131"/>
      </w:tblGrid>
      <w:tr>
        <w:trPr>
          <w:cantSplit w:val="true"/>
        </w:trPr>
        <w:tc>
          <w:tcPr>
            <w:tcW w:w="5131" w:type="dxa"/>
            <w:tcBorders/>
          </w:tcPr>
          <w:p>
            <w:pPr>
              <w:pStyle w:val="Normal"/>
              <w:rPr>
                <w:lang w:val="de-DE"/>
              </w:rPr>
            </w:pPr>
            <w:r>
              <w:rPr>
                <w:b/>
                <w:i w:val="false"/>
                <w:color w:val="233B53"/>
                <w:sz w:val="20"/>
                <w:lang w:val="de-DE"/>
              </w:rPr>
              <w:t>1  Mehr als ein Adressat</w:t>
            </w:r>
          </w:p>
          <w:p>
            <w:pPr>
              <w:pStyle w:val="Normal"/>
              <w:spacing w:before="0" w:after="100"/>
              <w:rPr>
                <w:lang w:val="de-DE"/>
              </w:rPr>
            </w:pPr>
            <w:r>
              <w:rPr>
                <w:lang w:val="de-DE"/>
              </w:rPr>
              <w:t>Vordergründig richtet sich der Kommentar gegen Personen im Beitrag. Gleichzeitig kann er an andere Mitlesende adressiert sein: Wer die Pointe, Verballhornung oder den politischen Code versteht, erkennt die gemeinsame Lagerposition.</w:t>
            </w:r>
          </w:p>
          <w:p>
            <w:pPr>
              <w:pStyle w:val="Normal"/>
              <w:spacing w:before="0" w:after="70"/>
              <w:rPr>
                <w:lang w:val="de-DE"/>
              </w:rPr>
            </w:pPr>
            <w:r>
              <w:rPr>
                <w:b/>
                <w:i w:val="false"/>
                <w:color w:val="2F6F73"/>
                <w:sz w:val="18"/>
                <w:lang w:val="de-DE"/>
              </w:rPr>
              <w:t xml:space="preserve">Typische Form: </w:t>
            </w:r>
            <w:r>
              <w:rPr>
                <w:b w:val="false"/>
                <w:i w:val="false"/>
                <w:color w:val="1F252A"/>
                <w:sz w:val="18"/>
                <w:lang w:val="de-DE"/>
              </w:rPr>
              <w:t>Slogans, wiederholte Verballhornungen, kurze Pointen und Häme ersetzen häufig eine inhaltliche Auseinandersetzung.</w:t>
            </w:r>
          </w:p>
        </w:tc>
        <w:tc>
          <w:tcPr>
            <w:tcW w:w="5131" w:type="dxa"/>
            <w:tcBorders/>
            <w:tcMar>
              <w:right w:w="0" w:type="dxa"/>
            </w:tcMar>
          </w:tcPr>
          <w:p>
            <w:pPr>
              <w:pStyle w:val="Normal"/>
              <w:rPr>
                <w:lang w:val="de-DE"/>
              </w:rPr>
            </w:pPr>
            <w:r>
              <w:rPr>
                <w:b/>
                <w:i w:val="false"/>
                <w:color w:val="233B53"/>
                <w:sz w:val="20"/>
                <w:lang w:val="de-DE"/>
              </w:rPr>
              <w:t>2  Zugehörigkeit wird aufgeführt</w:t>
            </w:r>
          </w:p>
          <w:p>
            <w:pPr>
              <w:pStyle w:val="Normal"/>
              <w:spacing w:before="0" w:after="100"/>
              <w:rPr>
                <w:lang w:val="de-DE"/>
              </w:rPr>
            </w:pPr>
            <w:r>
              <w:rPr>
                <w:lang w:val="de-DE"/>
              </w:rPr>
              <w:t>Der kommunikative Erfolg kann bereits darin bestehen, Haltung vorzuführen: „Ich gehöre zu diesem Lager – und ich weiß, über wen wir lachen.“ Spott wird damit weniger zum Gegenargument als zur öffentlichen Markierung von Nähe und Distanz.</w:t>
            </w:r>
          </w:p>
          <w:p>
            <w:pPr>
              <w:pStyle w:val="Normal"/>
              <w:spacing w:before="0" w:after="70"/>
              <w:rPr>
                <w:lang w:val="de-DE"/>
              </w:rPr>
            </w:pPr>
            <w:r>
              <w:rPr>
                <w:b/>
                <w:i w:val="false"/>
                <w:color w:val="2F6F73"/>
                <w:sz w:val="18"/>
                <w:lang w:val="de-DE"/>
              </w:rPr>
              <w:t xml:space="preserve">Wichtige Grenze: </w:t>
            </w:r>
            <w:r>
              <w:rPr>
                <w:b w:val="false"/>
                <w:i w:val="false"/>
                <w:color w:val="1F252A"/>
                <w:sz w:val="18"/>
                <w:lang w:val="de-DE"/>
              </w:rPr>
              <w:t>Aus der Form lässt sich keine organisierte Gruppe oder strategische Koordination ableiten. Erkennbar ist zunächst nur die kommunikative Funktion im sichtbaren Raum.</w:t>
            </w:r>
          </w:p>
        </w:tc>
      </w:tr>
    </w:tbl>
    <w:p>
      <w:pPr>
        <w:pStyle w:val="Normal"/>
        <w:keepLines/>
        <w:spacing w:before="160" w:after="60"/>
        <w:rPr>
          <w:lang w:val="de-DE"/>
        </w:rPr>
      </w:pPr>
      <w:r>
        <w:rPr/>
      </w:r>
    </w:p>
    <w:p>
      <w:pPr>
        <w:pStyle w:val="Normal"/>
        <w:spacing w:before="160" w:after="60"/>
        <w:rPr>
          <w:lang w:val="de-DE"/>
        </w:rPr>
      </w:pPr>
      <w:r>
        <w:rPr>
          <w:b/>
          <w:i w:val="false"/>
          <w:color w:val="233B53"/>
          <w:sz w:val="17"/>
          <w:lang w:val="de-DE"/>
        </w:rPr>
        <w:t>ORIENTIERUNG FÜR KOMMENTARSPALTEN</w:t>
      </w:r>
    </w:p>
    <w:tbl>
      <w:tblPr>
        <w:tblW w:w="10263" w:type="dxa"/>
        <w:jc w:val="center"/>
        <w:tblInd w:w="0" w:type="dxa"/>
        <w:tblLayout w:type="fixed"/>
        <w:tblCellMar>
          <w:top w:w="155" w:type="dxa"/>
          <w:left w:w="190" w:type="dxa"/>
          <w:bottom w:w="145" w:type="dxa"/>
          <w:right w:w="190" w:type="dxa"/>
        </w:tblCellMar>
        <w:tblLook w:val="04a0" w:noHBand="0" w:noVBand="1" w:firstColumn="1" w:lastRow="0" w:lastColumn="0" w:firstRow="1"/>
      </w:tblPr>
      <w:tblGrid>
        <w:gridCol w:w="10263"/>
      </w:tblGrid>
      <w:tr>
        <w:trPr>
          <w:cantSplit w:val="true"/>
        </w:trPr>
        <w:tc>
          <w:tcPr>
            <w:tcW w:w="10263" w:type="dxa"/>
            <w:tcBorders/>
            <w:shd w:fill="233B53"/>
          </w:tcPr>
          <w:p>
            <w:pPr>
              <w:pStyle w:val="Normal"/>
              <w:spacing w:before="0" w:after="80"/>
              <w:jc w:val="center"/>
              <w:rPr>
                <w:lang w:val="de-DE"/>
              </w:rPr>
            </w:pPr>
            <w:r>
              <w:rPr>
                <w:b/>
                <w:i w:val="false"/>
                <w:color w:val="FFFFFF"/>
                <w:sz w:val="24"/>
                <w:lang w:val="de-DE"/>
              </w:rPr>
              <w:t>Für wen ist dieser Kommentar eigentlich gemacht?</w:t>
            </w:r>
          </w:p>
          <w:p>
            <w:pPr>
              <w:pStyle w:val="Normal"/>
              <w:spacing w:before="0" w:after="100"/>
              <w:jc w:val="center"/>
              <w:rPr>
                <w:lang w:val="de-DE"/>
              </w:rPr>
            </w:pPr>
            <w:r>
              <w:rPr>
                <w:b/>
                <w:i w:val="false"/>
                <w:color w:val="FFFFFF"/>
                <w:sz w:val="21"/>
                <w:lang w:val="de-DE"/>
              </w:rPr>
              <w:t>Will er tatsächlich jemanden überzeugen – oder soll er vor allem anderen zeigen: „Ich gehöre zu euch und weiß, über wen wir lachen“?</w:t>
            </w:r>
          </w:p>
          <w:p>
            <w:pPr>
              <w:pStyle w:val="Normal"/>
              <w:spacing w:before="0" w:after="0"/>
              <w:jc w:val="center"/>
              <w:rPr>
                <w:lang w:val="de-DE"/>
              </w:rPr>
            </w:pPr>
            <w:r>
              <w:rPr>
                <w:b w:val="false"/>
                <w:i w:val="false"/>
                <w:color w:val="DDE7EE"/>
                <w:sz w:val="17"/>
                <w:lang w:val="de-DE"/>
              </w:rPr>
              <w:t>Nicht jede Provokation ist ein Gesprächsangebot.</w:t>
            </w:r>
          </w:p>
        </w:tc>
      </w:tr>
    </w:tbl>
    <w:p>
      <w:pPr>
        <w:pStyle w:val="Normal"/>
        <w:keepLines/>
        <w:spacing w:before="160" w:after="60"/>
        <w:rPr>
          <w:lang w:val="de-DE"/>
        </w:rPr>
      </w:pPr>
      <w:r>
        <w:rPr/>
      </w:r>
    </w:p>
    <w:p>
      <w:pPr>
        <w:pStyle w:val="Normal"/>
        <w:spacing w:before="160" w:after="60"/>
        <w:rPr>
          <w:lang w:val="de-DE"/>
        </w:rPr>
      </w:pPr>
      <w:r>
        <w:rPr>
          <w:b/>
          <w:i w:val="false"/>
          <w:color w:val="233B53"/>
          <w:sz w:val="17"/>
          <w:lang w:val="de-DE"/>
        </w:rPr>
        <w:t>WARUM IST DAS RELEVANT?</w:t>
      </w:r>
    </w:p>
    <w:tbl>
      <w:tblPr>
        <w:tblW w:w="10263" w:type="dxa"/>
        <w:jc w:val="center"/>
        <w:tblInd w:w="0" w:type="dxa"/>
        <w:tblLayout w:type="fixed"/>
        <w:tblCellMar>
          <w:top w:w="110" w:type="dxa"/>
          <w:left w:w="120" w:type="dxa"/>
          <w:bottom w:w="105" w:type="dxa"/>
          <w:right w:w="120" w:type="dxa"/>
        </w:tblCellMar>
        <w:tblLook w:val="04a0" w:noHBand="0" w:noVBand="1" w:firstColumn="1" w:lastRow="0" w:lastColumn="0" w:firstRow="1"/>
      </w:tblPr>
      <w:tblGrid>
        <w:gridCol w:w="3421"/>
        <w:gridCol w:w="3421"/>
        <w:gridCol w:w="3421"/>
      </w:tblGrid>
      <w:tr>
        <w:trPr>
          <w:cantSplit w:val="true"/>
        </w:trPr>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lang w:val="de-DE"/>
              </w:rPr>
            </w:pPr>
            <w:r>
              <w:rPr>
                <w:b/>
                <w:i w:val="false"/>
                <w:color w:val="233B53"/>
                <w:sz w:val="17"/>
                <w:lang w:val="de-DE"/>
              </w:rPr>
              <w:t>1  Die Bühne wird sichtbar</w:t>
            </w:r>
          </w:p>
          <w:p>
            <w:pPr>
              <w:pStyle w:val="Normal"/>
              <w:spacing w:before="0" w:after="0"/>
              <w:rPr>
                <w:lang w:val="de-DE"/>
              </w:rPr>
            </w:pPr>
            <w:r>
              <w:rPr>
                <w:b w:val="false"/>
                <w:i w:val="false"/>
                <w:color w:val="1F252A"/>
                <w:sz w:val="15"/>
                <w:lang w:val="de-DE"/>
              </w:rPr>
              <w:t>Ein Kommentar kann weniger Austausch als öffentliche Selbstdarstellung für ein mitlesendes Publikum sein.</w:t>
            </w:r>
          </w:p>
        </w:tc>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lang w:val="de-DE"/>
              </w:rPr>
            </w:pPr>
            <w:r>
              <w:rPr>
                <w:b/>
                <w:i w:val="false"/>
                <w:color w:val="233B53"/>
                <w:sz w:val="17"/>
                <w:lang w:val="de-DE"/>
              </w:rPr>
              <w:t>2  Codes schaffen Anschluss</w:t>
            </w:r>
          </w:p>
          <w:p>
            <w:pPr>
              <w:pStyle w:val="Normal"/>
              <w:spacing w:before="0" w:after="0"/>
              <w:rPr>
                <w:lang w:val="de-DE"/>
              </w:rPr>
            </w:pPr>
            <w:r>
              <w:rPr>
                <w:b w:val="false"/>
                <w:i w:val="false"/>
                <w:color w:val="1F252A"/>
                <w:sz w:val="15"/>
                <w:lang w:val="de-DE"/>
              </w:rPr>
              <w:t>Wiederholte Slogans und Pointen sind leicht erkennbar, leicht nachzuahmen und markieren gemeinsame Lagerzugehörigkeit.</w:t>
            </w:r>
          </w:p>
        </w:tc>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lang w:val="de-DE"/>
              </w:rPr>
            </w:pPr>
            <w:r>
              <w:rPr>
                <w:b/>
                <w:i w:val="false"/>
                <w:color w:val="233B53"/>
                <w:sz w:val="17"/>
                <w:lang w:val="de-DE"/>
              </w:rPr>
              <w:t>3  Antworten lassen sich anders wählen</w:t>
            </w:r>
          </w:p>
          <w:p>
            <w:pPr>
              <w:pStyle w:val="Normal"/>
              <w:spacing w:before="0" w:after="0"/>
              <w:rPr>
                <w:lang w:val="de-DE"/>
              </w:rPr>
            </w:pPr>
            <w:r>
              <w:rPr>
                <w:b w:val="false"/>
                <w:i w:val="false"/>
                <w:color w:val="1F252A"/>
                <w:sz w:val="15"/>
                <w:lang w:val="de-DE"/>
              </w:rPr>
              <w:t>Wer die Publikumsfunktion erkennt, kann entscheiden, ob eine Antwort dem Kommentierenden oder eher den still Mitlesenden gelten soll.</w:t>
            </w:r>
          </w:p>
        </w:tc>
      </w:tr>
      <w:tr>
        <w:trPr>
          <w:cantSplit w:val="true"/>
        </w:trPr>
        <w:tc>
          <w:tcPr>
            <w:tcW w:w="10263" w:type="dxa"/>
            <w:gridSpan w:val="3"/>
            <w:tcBorders>
              <w:left w:val="single" w:sz="14" w:space="0" w:color="2F6F73"/>
            </w:tcBorders>
            <w:shd w:fill="EEF5F3"/>
            <w:tcMar>
              <w:top w:w="95" w:type="dxa"/>
              <w:left w:w="150" w:type="dxa"/>
              <w:bottom w:w="95" w:type="dxa"/>
              <w:right w:w="150" w:type="dxa"/>
            </w:tcMar>
          </w:tcPr>
          <w:p>
            <w:pPr>
              <w:pStyle w:val="Normal"/>
              <w:spacing w:before="0" w:after="0"/>
              <w:rPr>
                <w:lang w:val="de-DE"/>
              </w:rPr>
            </w:pPr>
            <w:r>
              <w:rPr>
                <w:b/>
                <w:i w:val="false"/>
                <w:color w:val="2F6F73"/>
                <w:sz w:val="16"/>
                <w:lang w:val="de-DE"/>
              </w:rPr>
              <w:t xml:space="preserve">LERNZIEL  </w:t>
            </w:r>
            <w:r>
              <w:rPr>
                <w:b w:val="false"/>
                <w:i w:val="false"/>
                <w:color w:val="1F252A"/>
                <w:sz w:val="16"/>
                <w:lang w:val="de-DE"/>
              </w:rPr>
              <w:t>Teilnehmende erkennen, dass Spott in Kommentarspalten nicht nur gegen Gegner gerichtet sein kann, sondern zugleich Zugehörigkeit und gemeinsame Abwertung vor einem Publikum sichtbar macht.</w:t>
            </w:r>
          </w:p>
        </w:tc>
      </w:tr>
    </w:tbl>
    <w:p>
      <w:pPr>
        <w:pStyle w:val="Normal"/>
        <w:keepLines/>
        <w:pBdr>
          <w:top w:val="single" w:sz="6" w:space="0" w:color="D5DEE4"/>
        </w:pBdr>
        <w:spacing w:before="140" w:after="0"/>
        <w:rPr>
          <w:lang w:val="de-DE"/>
        </w:rPr>
      </w:pPr>
      <w:r>
        <w:rPr>
          <w:b/>
          <w:i w:val="false"/>
          <w:color w:val="233B53"/>
          <w:sz w:val="14"/>
          <w:lang w:val="de-DE"/>
        </w:rPr>
        <w:t xml:space="preserve">DATENGRUNDLAGE  </w:t>
      </w:r>
      <w:r>
        <w:rPr>
          <w:b w:val="false"/>
          <w:i w:val="false"/>
          <w:color w:val="5D6870"/>
          <w:sz w:val="14"/>
          <w:lang w:val="de-DE"/>
        </w:rPr>
        <w:t>317 feindselig-abwertende Textkommentare aus einer dokumentierten Facebook-Kommentarspalte. Systematische Fallanalyse, keine repräsentative Untersuchung sozialer Medien. Mehrfachcodierungen einzelner Kommentare waren möglich.</w:t>
      </w:r>
    </w:p>
    <w:p>
      <w:pPr>
        <w:pStyle w:val="Normal"/>
        <w:keepLines/>
        <w:rPr>
          <w:lang w:val="de-DE"/>
        </w:rPr>
      </w:pPr>
      <w:r>
        <w:rPr>
          <w:lang w:val="de-DE"/>
        </w:rPr>
      </w:r>
      <w:r>
        <w:br w:type="page"/>
      </w:r>
    </w:p>
    <w:p>
      <w:pPr>
        <w:pStyle w:val="Normal"/>
        <w:keepLines/>
        <w:spacing w:before="180" w:after="20"/>
        <w:rPr>
          <w:lang w:val="de-DE"/>
        </w:rPr>
      </w:pPr>
      <w:r>
        <w:rPr>
          <w:b/>
          <w:i w:val="false"/>
          <w:color w:val="233B53"/>
          <w:sz w:val="43"/>
          <w:lang w:val="de-DE"/>
        </w:rPr>
        <w:t>Muster erkennen</w:t>
      </w:r>
    </w:p>
    <w:p>
      <w:pPr>
        <w:pStyle w:val="Normal"/>
        <w:keepLines/>
        <w:spacing w:before="0" w:after="120"/>
        <w:rPr>
          <w:lang w:val="de-DE"/>
        </w:rPr>
      </w:pPr>
      <w:r>
        <w:rPr>
          <w:b/>
          <w:i w:val="false"/>
          <w:color w:val="2F6F73"/>
          <w:sz w:val="22"/>
          <w:lang w:val="de-DE"/>
        </w:rPr>
        <w:t>Originalbeispiele: Spott als öffentliche Lagerpositionierung</w:t>
      </w:r>
    </w:p>
    <w:tbl>
      <w:tblPr>
        <w:tblW w:w="10263" w:type="dxa"/>
        <w:jc w:val="center"/>
        <w:tblInd w:w="0" w:type="dxa"/>
        <w:tblLayout w:type="fixed"/>
        <w:tblCellMar>
          <w:top w:w="110" w:type="dxa"/>
          <w:left w:w="160" w:type="dxa"/>
          <w:bottom w:w="105" w:type="dxa"/>
          <w:right w:w="160" w:type="dxa"/>
        </w:tblCellMar>
        <w:tblLook w:val="04a0" w:noHBand="0" w:noVBand="1" w:firstColumn="1" w:lastRow="0" w:lastColumn="0" w:firstRow="1"/>
      </w:tblPr>
      <w:tblGrid>
        <w:gridCol w:w="10263"/>
      </w:tblGrid>
      <w:tr>
        <w:trPr>
          <w:cantSplit w:val="true"/>
        </w:trPr>
        <w:tc>
          <w:tcPr>
            <w:tcW w:w="10263" w:type="dxa"/>
            <w:tcBorders>
              <w:left w:val="single" w:sz="16" w:space="0" w:color="2F6F73"/>
            </w:tcBorders>
            <w:shd w:fill="EAF1F6"/>
          </w:tcPr>
          <w:p>
            <w:pPr>
              <w:pStyle w:val="Normal"/>
              <w:spacing w:before="0" w:after="40"/>
              <w:rPr>
                <w:lang w:val="de-DE"/>
              </w:rPr>
            </w:pPr>
            <w:r>
              <w:rPr>
                <w:b/>
                <w:i w:val="false"/>
                <w:color w:val="2F6F73"/>
                <w:sz w:val="16"/>
                <w:lang w:val="de-DE"/>
              </w:rPr>
              <w:t>HINWEIS ZUR ARBEIT MIT DEN BEISPIELEN</w:t>
            </w:r>
          </w:p>
          <w:p>
            <w:pPr>
              <w:pStyle w:val="Normal"/>
              <w:spacing w:before="0" w:after="40"/>
              <w:rPr>
                <w:lang w:val="de-DE"/>
              </w:rPr>
            </w:pPr>
            <w:r>
              <w:rPr>
                <w:b w:val="false"/>
                <w:i w:val="false"/>
                <w:color w:val="1F252A"/>
                <w:sz w:val="17"/>
                <w:lang w:val="de-DE"/>
              </w:rPr>
              <w:t>Die Originalkommentare sind anonymisiert und in der ursprünglichen Schreibweise weitgehend beibehalten. Die Auswahl enthält zwei Beispiele niedriger, zwei mittlerer und ein deutlich verdichtetes Beispiel der höchsten für dieses Muster sinnvoll ausgewählten Intensität.</w:t>
            </w:r>
          </w:p>
          <w:p>
            <w:pPr>
              <w:pStyle w:val="Normal"/>
              <w:spacing w:before="0" w:after="0"/>
              <w:rPr>
                <w:lang w:val="de-DE"/>
              </w:rPr>
            </w:pPr>
            <w:r>
              <w:rPr>
                <w:b/>
                <w:i w:val="false"/>
                <w:color w:val="1F252A"/>
                <w:sz w:val="17"/>
                <w:lang w:val="de-DE"/>
              </w:rPr>
              <w:t>Das letzte Beispiel liegt auf Stufe 3. Ein Gewaltbeispiel wird hier nicht künstlich ergänzt, weil es den Mechanismus der Ingroup-/Spottkommunikation überlagern würde.</w:t>
            </w:r>
          </w:p>
        </w:tc>
      </w:tr>
    </w:tbl>
    <w:p>
      <w:pPr>
        <w:pStyle w:val="Normal"/>
        <w:keepLines/>
        <w:spacing w:before="100" w:after="60"/>
        <w:rPr>
          <w:lang w:val="de-DE"/>
        </w:rPr>
      </w:pPr>
      <w:r>
        <w:rPr>
          <w:b/>
          <w:i w:val="false"/>
          <w:color w:val="233B53"/>
          <w:sz w:val="16"/>
          <w:lang w:val="de-DE"/>
        </w:rPr>
        <w:t>FÜNF BEISPIELE AUS DEM KORPUS</w:t>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2550"/>
        <w:gridCol w:w="7711"/>
      </w:tblGrid>
      <w:tr>
        <w:trPr>
          <w:cantSplit w:val="true"/>
        </w:trPr>
        <w:tc>
          <w:tcPr>
            <w:tcW w:w="2550" w:type="dxa"/>
            <w:tcBorders>
              <w:top w:val="single" w:sz="4" w:space="0" w:color="D5DEE4"/>
              <w:left w:val="single" w:sz="16" w:space="0" w:color="2F6F73"/>
              <w:bottom w:val="single" w:sz="4" w:space="0" w:color="D5DEE4"/>
              <w:right w:val="single" w:sz="4" w:space="0" w:color="D5DEE4"/>
            </w:tcBorders>
            <w:shd w:fill="EEF5F3"/>
            <w:vAlign w:val="center"/>
          </w:tcPr>
          <w:p>
            <w:pPr>
              <w:pStyle w:val="Normal"/>
              <w:spacing w:before="0" w:after="20"/>
              <w:rPr>
                <w:lang w:val="de-DE"/>
              </w:rPr>
            </w:pPr>
            <w:r>
              <w:rPr>
                <w:b/>
                <w:i w:val="false"/>
                <w:color w:val="2F6F73"/>
                <w:sz w:val="14"/>
                <w:lang w:val="de-DE"/>
              </w:rPr>
              <w:t>NIEDRIGE INTENSITÄT</w:t>
            </w:r>
          </w:p>
          <w:p>
            <w:pPr>
              <w:pStyle w:val="Normal"/>
              <w:spacing w:before="0" w:after="0"/>
              <w:rPr>
                <w:lang w:val="de-DE"/>
              </w:rPr>
            </w:pPr>
            <w:r>
              <w:rPr>
                <w:b/>
                <w:i w:val="false"/>
                <w:color w:val="233B53"/>
                <w:sz w:val="18"/>
                <w:lang w:val="de-DE"/>
              </w:rPr>
              <w:t>STUFE 1</w:t>
            </w:r>
          </w:p>
        </w:tc>
        <w:tc>
          <w:tcPr>
            <w:tcW w:w="7711" w:type="dxa"/>
            <w:tcBorders>
              <w:top w:val="single" w:sz="4" w:space="0" w:color="D5DEE4"/>
              <w:left w:val="single" w:sz="4" w:space="0" w:color="D5DEE4"/>
              <w:bottom w:val="single" w:sz="4" w:space="0" w:color="D5DEE4"/>
              <w:right w:val="single" w:sz="4" w:space="0" w:color="D5DEE4"/>
            </w:tcBorders>
            <w:shd w:fill="EEF5F3"/>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Die entsetzten Blicke des Sicherheitspersonal“</w:t>
            </w:r>
          </w:p>
          <w:p>
            <w:pPr>
              <w:pStyle w:val="Normal"/>
              <w:spacing w:before="0" w:after="0"/>
              <w:rPr>
                <w:lang w:val="de-DE"/>
              </w:rPr>
            </w:pPr>
            <w:r>
              <w:rPr>
                <w:b/>
                <w:i w:val="false"/>
                <w:color w:val="2F6F73"/>
                <w:sz w:val="16"/>
                <w:lang w:val="de-DE"/>
              </w:rPr>
              <w:t xml:space="preserve">Muster: </w:t>
            </w:r>
            <w:r>
              <w:rPr>
                <w:b w:val="false"/>
                <w:i w:val="false"/>
                <w:color w:val="1F252A"/>
                <w:sz w:val="16"/>
                <w:lang w:val="de-DE"/>
              </w:rPr>
              <w:t>Die Pointe behauptet indirekt, selbst Außenstehende würden die Szene als peinlich oder befremdlich erleben. Sie zielt stärker auf gemeinsames Amüsement als auf eine politische Aussage.</w:t>
            </w:r>
          </w:p>
        </w:tc>
      </w:tr>
    </w:tbl>
    <w:p>
      <w:pPr>
        <w:pStyle w:val="Normal"/>
        <w:keepLines/>
        <w:spacing w:before="0" w:after="10"/>
        <w:rPr>
          <w:lang w:val="de-DE"/>
        </w:rPr>
      </w:pPr>
      <w:r>
        <w:rPr>
          <w:lang w:val="de-DE"/>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2550"/>
        <w:gridCol w:w="7711"/>
      </w:tblGrid>
      <w:tr>
        <w:trPr>
          <w:cantSplit w:val="true"/>
        </w:trPr>
        <w:tc>
          <w:tcPr>
            <w:tcW w:w="2550" w:type="dxa"/>
            <w:tcBorders>
              <w:top w:val="single" w:sz="4" w:space="0" w:color="D5DEE4"/>
              <w:left w:val="single" w:sz="16" w:space="0" w:color="2F6F73"/>
              <w:bottom w:val="single" w:sz="4" w:space="0" w:color="D5DEE4"/>
              <w:right w:val="single" w:sz="4" w:space="0" w:color="D5DEE4"/>
            </w:tcBorders>
            <w:shd w:fill="EEF5F3"/>
            <w:vAlign w:val="center"/>
          </w:tcPr>
          <w:p>
            <w:pPr>
              <w:pStyle w:val="Normal"/>
              <w:spacing w:before="0" w:after="20"/>
              <w:rPr>
                <w:lang w:val="de-DE"/>
              </w:rPr>
            </w:pPr>
            <w:r>
              <w:rPr>
                <w:b/>
                <w:i w:val="false"/>
                <w:color w:val="2F6F73"/>
                <w:sz w:val="14"/>
                <w:lang w:val="de-DE"/>
              </w:rPr>
              <w:t>NIEDRIGE INTENSITÄT</w:t>
            </w:r>
          </w:p>
          <w:p>
            <w:pPr>
              <w:pStyle w:val="Normal"/>
              <w:spacing w:before="0" w:after="0"/>
              <w:rPr>
                <w:lang w:val="de-DE"/>
              </w:rPr>
            </w:pPr>
            <w:r>
              <w:rPr>
                <w:b/>
                <w:i w:val="false"/>
                <w:color w:val="233B53"/>
                <w:sz w:val="18"/>
                <w:lang w:val="de-DE"/>
              </w:rPr>
              <w:t>STUFE 1</w:t>
            </w:r>
          </w:p>
        </w:tc>
        <w:tc>
          <w:tcPr>
            <w:tcW w:w="7711" w:type="dxa"/>
            <w:tcBorders>
              <w:top w:val="single" w:sz="4" w:space="0" w:color="D5DEE4"/>
              <w:left w:val="single" w:sz="4" w:space="0" w:color="D5DEE4"/>
              <w:bottom w:val="single" w:sz="4" w:space="0" w:color="D5DEE4"/>
              <w:right w:val="single" w:sz="4" w:space="0" w:color="D5DEE4"/>
            </w:tcBorders>
            <w:shd w:fill="EEF5F3"/>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Alete Alete“</w:t>
            </w:r>
          </w:p>
          <w:p>
            <w:pPr>
              <w:pStyle w:val="Normal"/>
              <w:spacing w:before="0" w:after="0"/>
              <w:rPr>
                <w:lang w:val="de-DE"/>
              </w:rPr>
            </w:pPr>
            <w:r>
              <w:rPr>
                <w:b/>
                <w:i w:val="false"/>
                <w:color w:val="2F6F73"/>
                <w:sz w:val="16"/>
                <w:lang w:val="de-DE"/>
              </w:rPr>
              <w:t xml:space="preserve">Muster: </w:t>
            </w:r>
            <w:r>
              <w:rPr>
                <w:b w:val="false"/>
                <w:i w:val="false"/>
                <w:color w:val="1F252A"/>
                <w:sz w:val="16"/>
                <w:lang w:val="de-DE"/>
              </w:rPr>
              <w:t>Die verkürzte Verballhornung funktioniert wie ein wiedererkennbarer Zuruf. Inhaltlich sagt sie fast nichts; kommunikativ markiert sie Distanz und lädt zum gemeinsamen Spott ein.</w:t>
            </w:r>
          </w:p>
        </w:tc>
      </w:tr>
    </w:tbl>
    <w:p>
      <w:pPr>
        <w:pStyle w:val="Normal"/>
        <w:keepLines/>
        <w:spacing w:before="0" w:after="10"/>
        <w:rPr>
          <w:lang w:val="de-DE"/>
        </w:rPr>
      </w:pPr>
      <w:r>
        <w:rPr>
          <w:lang w:val="de-DE"/>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3911"/>
        <w:gridCol w:w="6350"/>
      </w:tblGrid>
      <w:tr>
        <w:trPr>
          <w:cantSplit w:val="true"/>
        </w:trPr>
        <w:tc>
          <w:tcPr>
            <w:tcW w:w="3911" w:type="dxa"/>
            <w:tcBorders>
              <w:top w:val="single" w:sz="4" w:space="0" w:color="D5DEE4"/>
              <w:left w:val="single" w:sz="16" w:space="0" w:color="7B673E"/>
              <w:bottom w:val="single" w:sz="4" w:space="0" w:color="D5DEE4"/>
              <w:right w:val="single" w:sz="4" w:space="0" w:color="D5DEE4"/>
            </w:tcBorders>
            <w:shd w:fill="F6F2E8"/>
            <w:vAlign w:val="center"/>
          </w:tcPr>
          <w:p>
            <w:pPr>
              <w:pStyle w:val="Normal"/>
              <w:spacing w:before="0" w:after="20"/>
              <w:rPr>
                <w:lang w:val="de-DE"/>
              </w:rPr>
            </w:pPr>
            <w:r>
              <w:rPr>
                <w:b/>
                <w:i w:val="false"/>
                <w:color w:val="7B673E"/>
                <w:sz w:val="14"/>
                <w:lang w:val="de-DE"/>
              </w:rPr>
              <w:t>MITTLERE INTENSITÄT</w:t>
            </w:r>
          </w:p>
          <w:p>
            <w:pPr>
              <w:pStyle w:val="Normal"/>
              <w:spacing w:before="0" w:after="0"/>
              <w:rPr>
                <w:lang w:val="de-DE"/>
              </w:rPr>
            </w:pPr>
            <w:r>
              <w:rPr>
                <w:b/>
                <w:i w:val="false"/>
                <w:color w:val="233B53"/>
                <w:sz w:val="18"/>
                <w:lang w:val="de-DE"/>
              </w:rPr>
              <w:t>STUFE 2</w:t>
            </w:r>
          </w:p>
        </w:tc>
        <w:tc>
          <w:tcPr>
            <w:tcW w:w="6350" w:type="dxa"/>
            <w:tcBorders>
              <w:top w:val="single" w:sz="4" w:space="0" w:color="D5DEE4"/>
              <w:left w:val="single" w:sz="4" w:space="0" w:color="D5DEE4"/>
              <w:bottom w:val="single" w:sz="4" w:space="0" w:color="D5DEE4"/>
              <w:right w:val="single" w:sz="4" w:space="0" w:color="D5DEE4"/>
            </w:tcBorders>
            <w:shd w:fill="F6F2E8"/>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Alerta Alerta, erst schreit er dann plärrt er“</w:t>
            </w:r>
          </w:p>
          <w:p>
            <w:pPr>
              <w:pStyle w:val="Normal"/>
              <w:spacing w:before="0" w:after="0"/>
              <w:rPr>
                <w:lang w:val="de-DE"/>
              </w:rPr>
            </w:pPr>
            <w:r>
              <w:rPr>
                <w:b/>
                <w:i w:val="false"/>
                <w:color w:val="7B673E"/>
                <w:sz w:val="16"/>
                <w:lang w:val="de-DE"/>
              </w:rPr>
              <w:t xml:space="preserve">Muster: </w:t>
            </w:r>
            <w:r>
              <w:rPr>
                <w:b w:val="false"/>
                <w:i w:val="false"/>
                <w:color w:val="1F252A"/>
                <w:sz w:val="16"/>
                <w:lang w:val="de-DE"/>
              </w:rPr>
              <w:t>Der bekannte Ruf wird parodiert und mit persönlicher Herabsetzung gekoppelt. Die Form ist auf Pointe und Wiedererkennbarkeit ausgelegt, nicht auf Widerlegung einer Position.</w:t>
            </w:r>
          </w:p>
        </w:tc>
      </w:tr>
    </w:tbl>
    <w:p>
      <w:pPr>
        <w:pStyle w:val="Normal"/>
        <w:keepLines/>
        <w:spacing w:before="0" w:after="10"/>
        <w:rPr>
          <w:lang w:val="de-DE"/>
        </w:rPr>
      </w:pPr>
      <w:r>
        <w:rPr>
          <w:lang w:val="de-DE"/>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3911"/>
        <w:gridCol w:w="6350"/>
      </w:tblGrid>
      <w:tr>
        <w:trPr>
          <w:cantSplit w:val="true"/>
        </w:trPr>
        <w:tc>
          <w:tcPr>
            <w:tcW w:w="3911" w:type="dxa"/>
            <w:tcBorders>
              <w:top w:val="single" w:sz="4" w:space="0" w:color="D5DEE4"/>
              <w:left w:val="single" w:sz="16" w:space="0" w:color="7B673E"/>
              <w:bottom w:val="single" w:sz="4" w:space="0" w:color="D5DEE4"/>
              <w:right w:val="single" w:sz="4" w:space="0" w:color="D5DEE4"/>
            </w:tcBorders>
            <w:shd w:fill="F6F2E8"/>
            <w:vAlign w:val="center"/>
          </w:tcPr>
          <w:p>
            <w:pPr>
              <w:pStyle w:val="Normal"/>
              <w:spacing w:before="0" w:after="20"/>
              <w:rPr>
                <w:lang w:val="de-DE"/>
              </w:rPr>
            </w:pPr>
            <w:r>
              <w:rPr>
                <w:b/>
                <w:i w:val="false"/>
                <w:color w:val="7B673E"/>
                <w:sz w:val="14"/>
                <w:lang w:val="de-DE"/>
              </w:rPr>
              <w:t>MITTLERE INTENSITÄT</w:t>
            </w:r>
          </w:p>
          <w:p>
            <w:pPr>
              <w:pStyle w:val="Normal"/>
              <w:spacing w:before="0" w:after="0"/>
              <w:rPr>
                <w:lang w:val="de-DE"/>
              </w:rPr>
            </w:pPr>
            <w:r>
              <w:rPr>
                <w:b/>
                <w:i w:val="false"/>
                <w:color w:val="233B53"/>
                <w:sz w:val="18"/>
                <w:lang w:val="de-DE"/>
              </w:rPr>
              <w:t>STUFE 2</w:t>
            </w:r>
          </w:p>
        </w:tc>
        <w:tc>
          <w:tcPr>
            <w:tcW w:w="6350" w:type="dxa"/>
            <w:tcBorders>
              <w:top w:val="single" w:sz="4" w:space="0" w:color="D5DEE4"/>
              <w:left w:val="single" w:sz="4" w:space="0" w:color="D5DEE4"/>
              <w:bottom w:val="single" w:sz="4" w:space="0" w:color="D5DEE4"/>
              <w:right w:val="single" w:sz="4" w:space="0" w:color="D5DEE4"/>
            </w:tcBorders>
            <w:shd w:fill="F6F2E8"/>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Alerta, Alerta, die Deppen können kein Deutsch mehr“</w:t>
            </w:r>
          </w:p>
          <w:p>
            <w:pPr>
              <w:pStyle w:val="Normal"/>
              <w:spacing w:before="0" w:after="0"/>
              <w:rPr>
                <w:lang w:val="de-DE"/>
              </w:rPr>
            </w:pPr>
            <w:r>
              <w:rPr>
                <w:b/>
                <w:i w:val="false"/>
                <w:color w:val="7B673E"/>
                <w:sz w:val="16"/>
                <w:lang w:val="de-DE"/>
              </w:rPr>
              <w:t xml:space="preserve">Muster: </w:t>
            </w:r>
            <w:r>
              <w:rPr>
                <w:b w:val="false"/>
                <w:i w:val="false"/>
                <w:color w:val="1F252A"/>
                <w:sz w:val="16"/>
                <w:lang w:val="de-DE"/>
              </w:rPr>
              <w:t>Verballhornung, Kompetenzabwertung und Spott werden verbunden. Der Kommentar liefert zugleich eine Pointe für Mitlesende und eine Abwertung der adressierten Gruppe.</w:t>
            </w:r>
          </w:p>
        </w:tc>
      </w:tr>
    </w:tbl>
    <w:p>
      <w:pPr>
        <w:pStyle w:val="Normal"/>
        <w:keepLines/>
        <w:spacing w:before="0" w:after="10"/>
        <w:rPr>
          <w:lang w:val="de-DE"/>
        </w:rPr>
      </w:pPr>
      <w:r>
        <w:rPr>
          <w:lang w:val="de-DE"/>
        </w:rPr>
      </w:r>
    </w:p>
    <w:tbl>
      <w:tblPr>
        <w:tblW w:w="10263"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5131"/>
        <w:gridCol w:w="5131"/>
      </w:tblGrid>
      <w:tr>
        <w:trPr>
          <w:cantSplit w:val="true"/>
        </w:trPr>
        <w:tc>
          <w:tcPr>
            <w:tcW w:w="5131" w:type="dxa"/>
            <w:tcBorders>
              <w:top w:val="single" w:sz="4" w:space="0" w:color="D5DEE4"/>
              <w:left w:val="single" w:sz="16" w:space="0" w:color="87414B"/>
              <w:bottom w:val="single" w:sz="4" w:space="0" w:color="D5DEE4"/>
              <w:right w:val="single" w:sz="4" w:space="0" w:color="D5DEE4"/>
            </w:tcBorders>
            <w:shd w:fill="F7ECEE"/>
            <w:vAlign w:val="center"/>
          </w:tcPr>
          <w:p>
            <w:pPr>
              <w:pStyle w:val="Normal"/>
              <w:spacing w:before="0" w:after="20"/>
              <w:rPr>
                <w:lang w:val="de-DE"/>
              </w:rPr>
            </w:pPr>
            <w:r>
              <w:rPr>
                <w:b/>
                <w:i w:val="false"/>
                <w:color w:val="87414B"/>
                <w:sz w:val="14"/>
                <w:lang w:val="de-DE"/>
              </w:rPr>
              <w:t>HOHE INTENSITÄT</w:t>
            </w:r>
          </w:p>
          <w:p>
            <w:pPr>
              <w:pStyle w:val="Normal"/>
              <w:spacing w:before="0" w:after="0"/>
              <w:rPr>
                <w:lang w:val="de-DE"/>
              </w:rPr>
            </w:pPr>
            <w:r>
              <w:rPr>
                <w:b/>
                <w:i w:val="false"/>
                <w:color w:val="233B53"/>
                <w:sz w:val="18"/>
                <w:lang w:val="de-DE"/>
              </w:rPr>
              <w:t>STUFE 3</w:t>
            </w:r>
          </w:p>
        </w:tc>
        <w:tc>
          <w:tcPr>
            <w:tcW w:w="5131" w:type="dxa"/>
            <w:tcBorders>
              <w:top w:val="single" w:sz="4" w:space="0" w:color="D5DEE4"/>
              <w:left w:val="single" w:sz="4" w:space="0" w:color="D5DEE4"/>
              <w:bottom w:val="single" w:sz="4" w:space="0" w:color="D5DEE4"/>
              <w:right w:val="single" w:sz="4" w:space="0" w:color="D5DEE4"/>
            </w:tcBorders>
            <w:shd w:fill="F7ECEE"/>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Alerta alerta eure Eltern waren Geschwister“</w:t>
            </w:r>
          </w:p>
          <w:p>
            <w:pPr>
              <w:pStyle w:val="Normal"/>
              <w:spacing w:before="0" w:after="0"/>
              <w:rPr>
                <w:lang w:val="de-DE"/>
              </w:rPr>
            </w:pPr>
            <w:r>
              <w:rPr>
                <w:b/>
                <w:i w:val="false"/>
                <w:color w:val="87414B"/>
                <w:sz w:val="16"/>
                <w:lang w:val="de-DE"/>
              </w:rPr>
              <w:t xml:space="preserve">Muster: </w:t>
            </w:r>
            <w:r>
              <w:rPr>
                <w:b w:val="false"/>
                <w:i w:val="false"/>
                <w:color w:val="1F252A"/>
                <w:sz w:val="16"/>
                <w:lang w:val="de-DE"/>
              </w:rPr>
              <w:t>Der wiedererkennbare Slogan wird zum Träger einer Degenerationsbeleidigung. Die gemeinsame Pointe verdichtet sich zu einer erheblich stärkeren Gruppenabwertung.</w:t>
            </w:r>
          </w:p>
        </w:tc>
      </w:tr>
    </w:tbl>
    <w:p>
      <w:pPr>
        <w:pStyle w:val="Normal"/>
        <w:keepLines/>
        <w:spacing w:before="0" w:after="10"/>
        <w:rPr>
          <w:lang w:val="de-DE"/>
        </w:rPr>
      </w:pPr>
      <w:r>
        <w:rPr>
          <w:lang w:val="de-DE"/>
        </w:rPr>
      </w:r>
    </w:p>
    <w:p>
      <w:pPr>
        <w:pStyle w:val="Normal"/>
        <w:keepLines/>
        <w:spacing w:before="80" w:after="60"/>
        <w:rPr>
          <w:lang w:val="de-DE"/>
        </w:rPr>
      </w:pPr>
      <w:r>
        <w:rPr/>
      </w:r>
    </w:p>
    <w:p>
      <w:pPr>
        <w:pStyle w:val="Normal"/>
        <w:spacing w:before="80" w:after="60"/>
        <w:rPr>
          <w:lang w:val="de-DE"/>
        </w:rPr>
      </w:pPr>
      <w:r>
        <w:rPr>
          <w:b/>
          <w:i w:val="false"/>
          <w:color w:val="233B53"/>
          <w:sz w:val="16"/>
          <w:lang w:val="de-DE"/>
        </w:rPr>
        <w:t>ARBEITSAUFTRAG</w:t>
      </w:r>
    </w:p>
    <w:tbl>
      <w:tblPr>
        <w:tblW w:w="10263" w:type="dxa"/>
        <w:jc w:val="center"/>
        <w:tblInd w:w="0" w:type="dxa"/>
        <w:tblLayout w:type="fixed"/>
        <w:tblCellMar>
          <w:top w:w="110" w:type="dxa"/>
          <w:left w:w="165" w:type="dxa"/>
          <w:bottom w:w="105" w:type="dxa"/>
          <w:right w:w="165" w:type="dxa"/>
        </w:tblCellMar>
        <w:tblLook w:val="04a0" w:noHBand="0" w:noVBand="1" w:firstColumn="1" w:lastRow="0" w:lastColumn="0" w:firstRow="1"/>
      </w:tblPr>
      <w:tblGrid>
        <w:gridCol w:w="10263"/>
      </w:tblGrid>
      <w:tr>
        <w:trPr>
          <w:cantSplit w:val="true"/>
        </w:trPr>
        <w:tc>
          <w:tcPr>
            <w:tcW w:w="10263" w:type="dxa"/>
            <w:tcBorders/>
            <w:shd w:fill="233B53"/>
          </w:tcPr>
          <w:p>
            <w:pPr>
              <w:pStyle w:val="Normal"/>
              <w:spacing w:before="0" w:after="60"/>
              <w:rPr>
                <w:lang w:val="de-DE"/>
              </w:rPr>
            </w:pPr>
            <w:r>
              <w:rPr>
                <w:b/>
                <w:i w:val="false"/>
                <w:color w:val="FFFFFF"/>
                <w:sz w:val="18"/>
                <w:lang w:val="de-DE"/>
              </w:rPr>
              <w:t>1  Welche Teile der Kommentare tragen überhaupt eine überprüfbare Aussage – und welche funktionieren vor allem als Pointe oder Zuruf?</w:t>
            </w:r>
          </w:p>
          <w:p>
            <w:pPr>
              <w:pStyle w:val="Normal"/>
              <w:spacing w:before="0" w:after="60"/>
              <w:rPr>
                <w:lang w:val="de-DE"/>
              </w:rPr>
            </w:pPr>
            <w:r>
              <w:rPr>
                <w:b/>
                <w:i w:val="false"/>
                <w:color w:val="FFFFFF"/>
                <w:sz w:val="18"/>
                <w:lang w:val="de-DE"/>
              </w:rPr>
              <w:t>2  Welche Wörter, Wiederholungen oder Formen wirken wie Signale an ein bereits zustimmendes Publikum?</w:t>
            </w:r>
          </w:p>
          <w:p>
            <w:pPr>
              <w:pStyle w:val="Normal"/>
              <w:spacing w:before="0" w:after="0"/>
              <w:rPr>
                <w:lang w:val="de-DE"/>
              </w:rPr>
            </w:pPr>
            <w:r>
              <w:rPr>
                <w:b/>
                <w:i w:val="false"/>
                <w:color w:val="FFFFFF"/>
                <w:sz w:val="18"/>
                <w:lang w:val="de-DE"/>
              </w:rPr>
              <w:t>3  Wie verändert sich deine Reaktionsstrategie, wenn du den Kommentierenden nicht als einzigen Adressaten deiner Antwort betrachtest?</w:t>
            </w:r>
          </w:p>
        </w:tc>
      </w:tr>
      <w:tr>
        <w:trPr>
          <w:cantSplit w:val="true"/>
        </w:trPr>
        <w:tc>
          <w:tcPr>
            <w:tcW w:w="10263" w:type="dxa"/>
            <w:tcBorders>
              <w:left w:val="single" w:sz="14" w:space="0" w:color="2F6F73"/>
            </w:tcBorders>
            <w:shd w:fill="EEF5F3"/>
            <w:tcMar>
              <w:top w:w="80" w:type="dxa"/>
              <w:left w:w="140" w:type="dxa"/>
              <w:bottom w:w="80" w:type="dxa"/>
              <w:right w:w="140" w:type="dxa"/>
            </w:tcMar>
          </w:tcPr>
          <w:p>
            <w:pPr>
              <w:pStyle w:val="Normal"/>
              <w:spacing w:before="0" w:after="0"/>
              <w:rPr>
                <w:lang w:val="de-DE"/>
              </w:rPr>
            </w:pPr>
            <w:r>
              <w:rPr>
                <w:b/>
                <w:i w:val="false"/>
                <w:color w:val="2F6F73"/>
                <w:sz w:val="15"/>
                <w:lang w:val="de-DE"/>
              </w:rPr>
              <w:t xml:space="preserve">LESESCHLÜSSEL  </w:t>
            </w:r>
            <w:r>
              <w:rPr>
                <w:b w:val="false"/>
                <w:i w:val="false"/>
                <w:color w:val="1F252A"/>
                <w:sz w:val="15"/>
                <w:lang w:val="de-DE"/>
              </w:rPr>
              <w:t>Achte auf die Doppeladressierung: gegen wen richtet sich der Spott – und für wen wird er aufgeführt? Wiederholte Codes, Pointen und Verballhornungen können Zugehörigkeit sichtbar machen, auch wenn kaum argumentativer Inhalt vorhanden ist.</w:t>
            </w:r>
          </w:p>
        </w:tc>
      </w:tr>
    </w:tbl>
    <w:p>
      <w:pPr>
        <w:pStyle w:val="Normal"/>
        <w:keepLines/>
        <w:pBdr>
          <w:top w:val="single" w:sz="6" w:space="0" w:color="D5DEE4"/>
        </w:pBdr>
        <w:spacing w:before="80" w:after="0"/>
        <w:rPr>
          <w:lang w:val="de-DE"/>
        </w:rPr>
      </w:pPr>
      <w:r>
        <w:rPr>
          <w:b/>
          <w:i w:val="false"/>
          <w:color w:val="233B53"/>
          <w:sz w:val="14"/>
          <w:lang w:val="de-DE"/>
        </w:rPr>
        <w:t xml:space="preserve">QUELLENHINWEIS  </w:t>
      </w:r>
      <w:r>
        <w:rPr>
          <w:b w:val="false"/>
          <w:i w:val="false"/>
          <w:color w:val="5D6870"/>
          <w:sz w:val="14"/>
          <w:lang w:val="de-DE"/>
        </w:rPr>
        <w:t>Anonymisierte Originalzitate aus dem dokumentierten Korpus. Die Intensitätsangaben folgen der im Arbeitsdatensatz verwendeten Eskalationsskala (1–5). Die Beispiele illustrieren Kommunikationsmuster und sind keine Aussagen über politische Gruppen insgesamt.</w:t>
      </w:r>
    </w:p>
    <w:sectPr>
      <w:headerReference w:type="default" r:id="rId2"/>
      <w:footerReference w:type="default" r:id="rId3"/>
      <w:type w:val="nextPage"/>
      <w:pgSz w:w="11906" w:h="16838"/>
      <w:pgMar w:left="822" w:right="822" w:gutter="0" w:header="709" w:top="1410" w:footer="652" w:bottom="111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Liberation Sans">
    <w:altName w:val="Arial"/>
    <w:charset w:val="01"/>
    <w:family w:val="roman"/>
    <w:pitch w:val="variable"/>
  </w:font>
  <w:font w:name="Calibri">
    <w:charset w:val="01"/>
    <w:family w:val="roman"/>
    <w:pitch w:val="variable"/>
  </w:font>
  <w:font w:name="Courier">
    <w:altName w:val="Courier New"/>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b/>
        <w:bCs/>
        <w:sz w:val="16"/>
        <w:szCs w:val="16"/>
      </w:rPr>
    </w:pPr>
    <w:r>
      <w:rPr>
        <w:b/>
        <w:bCs/>
        <w:sz w:val="16"/>
        <w:szCs w:val="16"/>
      </w:rPr>
      <w:t>OER Material nach Lizenz: CC-NC-BY-SA - Merten Giesen 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0" w:after="120"/>
      <w:rPr>
        <w:b/>
        <w:bCs/>
        <w:sz w:val="24"/>
        <w:szCs w:val="24"/>
      </w:rPr>
    </w:pPr>
    <w:r>
      <w:rPr>
        <w:b/>
        <w:bCs/>
        <w:sz w:val="24"/>
        <w:szCs w:val="24"/>
      </w:rPr>
      <w:t xml:space="preserve">KOMMENTARSPALTEN RICHTIG LESEN </w:t>
    </w:r>
    <w:r>
      <w:rPr>
        <w:b/>
        <w:bCs/>
        <w:sz w:val="24"/>
        <w:szCs w:val="24"/>
      </w:rPr>
      <w:t>4</w:t>
    </w:r>
    <w:r>
      <w:rPr>
        <w:b/>
        <w:bCs/>
        <w:sz w:val="24"/>
        <w:szCs w:val="24"/>
      </w:rPr>
      <w:t>/5</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9" w:before="0" w:after="70"/>
      <w:jc w:val="left"/>
    </w:pPr>
    <w:rPr>
      <w:rFonts w:ascii="Liberation Sans" w:hAnsi="Liberation Sans" w:eastAsia="ＭＳ 明朝" w:cs=""/>
      <w:color w:val="1F252A"/>
      <w:kern w:val="0"/>
      <w:sz w:val="18"/>
      <w:szCs w:val="22"/>
      <w:lang w:val="de-DE"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7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FreeSans"/>
    </w:rPr>
  </w:style>
  <w:style w:type="paragraph" w:styleId="Kopf-Fuzeile">
    <w:name w:val="Kopf-/Fußzeil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de-DE"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7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70"/>
      <w:ind w:hanging="360" w:left="720"/>
      <w:contextualSpacing/>
    </w:pPr>
    <w:rPr/>
  </w:style>
  <w:style w:type="paragraph" w:styleId="List3">
    <w:name w:val="List 3"/>
    <w:basedOn w:val="Normal"/>
    <w:uiPriority w:val="99"/>
    <w:unhideWhenUsed/>
    <w:qFormat/>
    <w:rsid w:val="00326f90"/>
    <w:pPr>
      <w:spacing w:before="0" w:after="70"/>
      <w:ind w:hanging="360" w:left="1080"/>
      <w:contextualSpacing/>
    </w:pPr>
    <w:rPr/>
  </w:style>
  <w:style w:type="paragraph" w:styleId="ListBullet">
    <w:name w:val="List Bullet"/>
    <w:basedOn w:val="Normal"/>
    <w:uiPriority w:val="99"/>
    <w:unhideWhenUsed/>
    <w:rsid w:val="00326f90"/>
    <w:pPr>
      <w:numPr>
        <w:ilvl w:val="0"/>
        <w:numId w:val="1"/>
      </w:numPr>
      <w:spacing w:before="0" w:after="70"/>
      <w:contextualSpacing/>
    </w:pPr>
    <w:rPr/>
  </w:style>
  <w:style w:type="paragraph" w:styleId="ListBullet2">
    <w:name w:val="List Bullet 2"/>
    <w:basedOn w:val="Normal"/>
    <w:uiPriority w:val="99"/>
    <w:unhideWhenUsed/>
    <w:rsid w:val="00326f90"/>
    <w:pPr>
      <w:numPr>
        <w:ilvl w:val="0"/>
        <w:numId w:val="2"/>
      </w:numPr>
      <w:spacing w:before="0" w:after="70"/>
      <w:contextualSpacing/>
    </w:pPr>
    <w:rPr/>
  </w:style>
  <w:style w:type="paragraph" w:styleId="ListBullet3">
    <w:name w:val="List Bullet 3"/>
    <w:basedOn w:val="Normal"/>
    <w:uiPriority w:val="99"/>
    <w:unhideWhenUsed/>
    <w:rsid w:val="00326f90"/>
    <w:pPr>
      <w:numPr>
        <w:ilvl w:val="0"/>
        <w:numId w:val="3"/>
      </w:numPr>
      <w:spacing w:before="0" w:after="70"/>
      <w:contextualSpacing/>
    </w:pPr>
    <w:rPr/>
  </w:style>
  <w:style w:type="paragraph" w:styleId="ListNumber">
    <w:name w:val="List Number"/>
    <w:basedOn w:val="Normal"/>
    <w:uiPriority w:val="99"/>
    <w:unhideWhenUsed/>
    <w:rsid w:val="00326f90"/>
    <w:pPr>
      <w:numPr>
        <w:ilvl w:val="0"/>
        <w:numId w:val="4"/>
      </w:numPr>
      <w:spacing w:before="0" w:after="70"/>
      <w:contextualSpacing/>
    </w:pPr>
    <w:rPr/>
  </w:style>
  <w:style w:type="paragraph" w:styleId="ListNumber2">
    <w:name w:val="List Number 2"/>
    <w:basedOn w:val="Normal"/>
    <w:uiPriority w:val="99"/>
    <w:unhideWhenUsed/>
    <w:rsid w:val="0029639d"/>
    <w:pPr>
      <w:numPr>
        <w:ilvl w:val="0"/>
        <w:numId w:val="5"/>
      </w:numPr>
      <w:spacing w:before="0" w:after="70"/>
      <w:contextualSpacing/>
    </w:pPr>
    <w:rPr/>
  </w:style>
  <w:style w:type="paragraph" w:styleId="ListNumber3">
    <w:name w:val="List Number 3"/>
    <w:basedOn w:val="Normal"/>
    <w:uiPriority w:val="99"/>
    <w:unhideWhenUsed/>
    <w:rsid w:val="0029639d"/>
    <w:pPr>
      <w:numPr>
        <w:ilvl w:val="0"/>
        <w:numId w:val="6"/>
      </w:numPr>
      <w:spacing w:before="0" w:after="7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de-DE"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fc693f"/>
    <w:pPr>
      <w:outlineLvl w:val="9"/>
    </w:pPr>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numbering" w:styleId="KeineListe" w:default="1">
    <w:name w:val="Kein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LibreOffice/24.2.7.2$Linux_X86_64 LibreOffice_project/420$Build-2</Application>
  <AppVersion>15.0000</AppVersion>
  <Pages>2</Pages>
  <Words>707</Words>
  <Characters>4802</Characters>
  <CharactersWithSpaces>5452</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Merten Giesen</dc:creator>
  <dc:description>generated by python-docx</dc:description>
  <dc:language>de-DE</dc:language>
  <cp:lastModifiedBy/>
  <dcterms:modified xsi:type="dcterms:W3CDTF">2026-08-28T12:51:32Z</dcterms:modified>
  <cp:revision>3</cp:revision>
  <dc:subject>Spott als Ingroup-Kommunikation</dc:subject>
  <dc:title>Kommentarspalten lesen lernen – One-Pager 4 (zweiseitig)</dc:title>
</cp:coreProperties>
</file>

<file path=docProps/custom.xml><?xml version="1.0" encoding="utf-8"?>
<Properties xmlns="http://schemas.openxmlformats.org/officeDocument/2006/custom-properties" xmlns:vt="http://schemas.openxmlformats.org/officeDocument/2006/docPropsVTypes"/>
</file>