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Lines/>
        <w:spacing w:before="200" w:after="40"/>
        <w:rPr/>
      </w:pPr>
      <w:r>
        <w:rPr>
          <w:b/>
          <w:i w:val="false"/>
          <w:color w:val="233B53"/>
          <w:sz w:val="44"/>
        </w:rPr>
        <w:t>Nicht widersprechen – den Sprecher entwerten</w:t>
      </w:r>
    </w:p>
    <w:p>
      <w:pPr>
        <w:pStyle w:val="Normal"/>
        <w:keepLines/>
        <w:spacing w:before="0" w:after="160"/>
        <w:rPr/>
      </w:pPr>
      <w:r>
        <w:rPr>
          <w:b/>
          <w:i w:val="false"/>
          <w:color w:val="2F6F73"/>
          <w:sz w:val="23"/>
        </w:rPr>
        <w:t>Persönliche und epistemische Disqualifizierung</w:t>
      </w:r>
    </w:p>
    <w:tbl>
      <w:tblPr>
        <w:tblW w:w="10263" w:type="dxa"/>
        <w:jc w:val="center"/>
        <w:tblInd w:w="0" w:type="dxa"/>
        <w:tblLayout w:type="fixed"/>
        <w:tblCellMar>
          <w:top w:w="165" w:type="dxa"/>
          <w:left w:w="190" w:type="dxa"/>
          <w:bottom w:w="165" w:type="dxa"/>
          <w:right w:w="190" w:type="dxa"/>
        </w:tblCellMar>
        <w:tblLook w:val="04a0" w:noHBand="0" w:noVBand="1" w:firstColumn="1" w:lastRow="0" w:lastColumn="0" w:firstRow="1"/>
      </w:tblPr>
      <w:tblGrid>
        <w:gridCol w:w="10263"/>
      </w:tblGrid>
      <w:tr>
        <w:trPr>
          <w:cantSplit w:val="true"/>
        </w:trPr>
        <w:tc>
          <w:tcPr>
            <w:tcW w:w="10263" w:type="dxa"/>
            <w:tcBorders>
              <w:left w:val="single" w:sz="18" w:space="0" w:color="2F6F73"/>
            </w:tcBorders>
            <w:shd w:fill="EAF1F6"/>
          </w:tcPr>
          <w:p>
            <w:pPr>
              <w:pStyle w:val="Normal"/>
              <w:spacing w:before="0" w:after="40"/>
              <w:rPr/>
            </w:pPr>
            <w:r>
              <w:rPr>
                <w:b/>
                <w:i w:val="false"/>
                <w:color w:val="2F6F73"/>
                <w:sz w:val="17"/>
              </w:rPr>
              <w:t>KERNTHESE</w:t>
            </w:r>
          </w:p>
          <w:p>
            <w:pPr>
              <w:pStyle w:val="Normal"/>
              <w:spacing w:before="0" w:after="0"/>
              <w:rPr/>
            </w:pPr>
            <w:r>
              <w:rPr>
                <w:b/>
                <w:i w:val="false"/>
                <w:color w:val="1F252A"/>
                <w:sz w:val="21"/>
              </w:rPr>
              <w:t>Eine Diskussion lässt sich auch beenden, ohne ein einziges Gegenargument vorzubringen: indem man dem Gegenüber abspricht, überhaupt ein ernstzunehmender Gesprächspartner zu sein.</w:t>
            </w:r>
          </w:p>
        </w:tc>
      </w:tr>
    </w:tbl>
    <w:p>
      <w:pPr>
        <w:pStyle w:val="Normal"/>
        <w:keepLines/>
        <w:spacing w:before="180" w:after="60"/>
        <w:rPr>
          <w:rFonts w:ascii="Liberation Sans" w:hAnsi="Liberation Sans"/>
          <w:b/>
          <w:i w:val="false"/>
          <w:i w:val="false"/>
          <w:color w:val="233B53"/>
          <w:sz w:val="17"/>
        </w:rPr>
      </w:pPr>
      <w:r>
        <w:rPr/>
      </w:r>
    </w:p>
    <w:p>
      <w:pPr>
        <w:pStyle w:val="Normal"/>
        <w:spacing w:before="180" w:after="60"/>
        <w:rPr/>
      </w:pPr>
      <w:r>
        <w:rPr>
          <w:b/>
          <w:i w:val="false"/>
          <w:color w:val="233B53"/>
          <w:sz w:val="17"/>
        </w:rPr>
        <w:t>WAS WIR IM MATERIAL SEHEN</w:t>
      </w:r>
    </w:p>
    <w:tbl>
      <w:tblPr>
        <w:tblW w:w="10263" w:type="dxa"/>
        <w:jc w:val="center"/>
        <w:tblInd w:w="0" w:type="dxa"/>
        <w:tblLayout w:type="fixed"/>
        <w:tblCellMar>
          <w:top w:w="130" w:type="dxa"/>
          <w:left w:w="130" w:type="dxa"/>
          <w:bottom w:w="120" w:type="dxa"/>
          <w:right w:w="130" w:type="dxa"/>
        </w:tblCellMar>
        <w:tblLook w:val="04a0" w:noHBand="0" w:noVBand="1" w:firstColumn="1" w:lastRow="0" w:lastColumn="0" w:firstRow="1"/>
      </w:tblPr>
      <w:tblGrid>
        <w:gridCol w:w="3421"/>
        <w:gridCol w:w="3421"/>
        <w:gridCol w:w="3421"/>
      </w:tblGrid>
      <w:tr>
        <w:trPr>
          <w:cantSplit w:val="true"/>
        </w:trPr>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pPr>
            <w:r>
              <w:rPr>
                <w:b/>
                <w:i w:val="false"/>
                <w:color w:val="233B53"/>
                <w:sz w:val="40"/>
              </w:rPr>
              <w:t>118</w:t>
            </w:r>
          </w:p>
          <w:p>
            <w:pPr>
              <w:pStyle w:val="Normal"/>
              <w:spacing w:before="0" w:after="20"/>
              <w:jc w:val="center"/>
              <w:rPr/>
            </w:pPr>
            <w:r>
              <w:rPr>
                <w:b/>
                <w:i w:val="false"/>
                <w:color w:val="2F6F73"/>
                <w:sz w:val="16"/>
              </w:rPr>
              <w:t>Kommentare</w:t>
            </w:r>
          </w:p>
          <w:p>
            <w:pPr>
              <w:pStyle w:val="Normal"/>
              <w:spacing w:before="0" w:after="20"/>
              <w:jc w:val="center"/>
              <w:rPr/>
            </w:pPr>
            <w:r>
              <w:rPr>
                <w:b/>
                <w:i w:val="false"/>
                <w:color w:val="1F252A"/>
                <w:sz w:val="16"/>
              </w:rPr>
              <w:t>mit persönlicher Herabsetzung / Spott</w:t>
            </w:r>
          </w:p>
          <w:p>
            <w:pPr>
              <w:pStyle w:val="Normal"/>
              <w:spacing w:before="0" w:after="0"/>
              <w:jc w:val="center"/>
              <w:rPr/>
            </w:pPr>
            <w:r>
              <w:rPr>
                <w:b w:val="false"/>
                <w:i w:val="false"/>
                <w:color w:val="5D6870"/>
                <w:sz w:val="15"/>
              </w:rPr>
              <w:t>37,2 % der 317 Fälle</w:t>
            </w:r>
          </w:p>
        </w:tc>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pPr>
            <w:r>
              <w:rPr>
                <w:b/>
                <w:i w:val="false"/>
                <w:color w:val="233B53"/>
                <w:sz w:val="40"/>
              </w:rPr>
              <w:t>38</w:t>
            </w:r>
          </w:p>
          <w:p>
            <w:pPr>
              <w:pStyle w:val="Normal"/>
              <w:spacing w:before="0" w:after="20"/>
              <w:jc w:val="center"/>
              <w:rPr/>
            </w:pPr>
            <w:r>
              <w:rPr>
                <w:b/>
                <w:i w:val="false"/>
                <w:color w:val="2F6F73"/>
                <w:sz w:val="16"/>
              </w:rPr>
              <w:t>Kommentare</w:t>
            </w:r>
          </w:p>
          <w:p>
            <w:pPr>
              <w:pStyle w:val="Normal"/>
              <w:spacing w:before="0" w:after="20"/>
              <w:jc w:val="center"/>
              <w:rPr/>
            </w:pPr>
            <w:r>
              <w:rPr>
                <w:b/>
                <w:i w:val="false"/>
                <w:color w:val="1F252A"/>
                <w:sz w:val="16"/>
              </w:rPr>
              <w:t>mit ideologischer Kompetenzabwertung</w:t>
            </w:r>
          </w:p>
          <w:p>
            <w:pPr>
              <w:pStyle w:val="Normal"/>
              <w:spacing w:before="0" w:after="0"/>
              <w:jc w:val="center"/>
              <w:rPr/>
            </w:pPr>
            <w:r>
              <w:rPr>
                <w:b w:val="false"/>
                <w:i w:val="false"/>
                <w:color w:val="5D6870"/>
                <w:sz w:val="15"/>
              </w:rPr>
              <w:t>12,0 % der Fälle</w:t>
            </w:r>
          </w:p>
        </w:tc>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pPr>
            <w:r>
              <w:rPr>
                <w:b/>
                <w:i w:val="false"/>
                <w:color w:val="233B53"/>
                <w:sz w:val="40"/>
              </w:rPr>
              <w:t>28</w:t>
            </w:r>
          </w:p>
          <w:p>
            <w:pPr>
              <w:pStyle w:val="Normal"/>
              <w:spacing w:before="0" w:after="20"/>
              <w:jc w:val="center"/>
              <w:rPr/>
            </w:pPr>
            <w:r>
              <w:rPr>
                <w:b/>
                <w:i w:val="false"/>
                <w:color w:val="2F6F73"/>
                <w:sz w:val="16"/>
              </w:rPr>
              <w:t>Kommentare</w:t>
            </w:r>
          </w:p>
          <w:p>
            <w:pPr>
              <w:pStyle w:val="Normal"/>
              <w:spacing w:before="0" w:after="20"/>
              <w:jc w:val="center"/>
              <w:rPr/>
            </w:pPr>
            <w:r>
              <w:rPr>
                <w:b/>
                <w:i w:val="false"/>
                <w:color w:val="1F252A"/>
                <w:sz w:val="16"/>
              </w:rPr>
              <w:t>mit Psychologisierung / Pathologisierung</w:t>
            </w:r>
          </w:p>
          <w:p>
            <w:pPr>
              <w:pStyle w:val="Normal"/>
              <w:spacing w:before="0" w:after="0"/>
              <w:jc w:val="center"/>
              <w:rPr/>
            </w:pPr>
            <w:r>
              <w:rPr>
                <w:b w:val="false"/>
                <w:i w:val="false"/>
                <w:color w:val="5D6870"/>
                <w:sz w:val="15"/>
              </w:rPr>
              <w:t>8,8 % der Fälle</w:t>
            </w:r>
          </w:p>
        </w:tc>
      </w:tr>
    </w:tbl>
    <w:p>
      <w:pPr>
        <w:pStyle w:val="Normal"/>
        <w:keepLines/>
        <w:spacing w:before="160" w:after="60"/>
        <w:rPr>
          <w:rFonts w:ascii="Liberation Sans" w:hAnsi="Liberation Sans"/>
          <w:b/>
          <w:i w:val="false"/>
          <w:i w:val="false"/>
          <w:color w:val="233B53"/>
          <w:sz w:val="17"/>
        </w:rPr>
      </w:pPr>
      <w:r>
        <w:rPr/>
      </w:r>
    </w:p>
    <w:p>
      <w:pPr>
        <w:pStyle w:val="Normal"/>
        <w:spacing w:before="160" w:after="60"/>
        <w:rPr/>
      </w:pPr>
      <w:r>
        <w:rPr>
          <w:b/>
          <w:i w:val="false"/>
          <w:color w:val="233B53"/>
          <w:sz w:val="17"/>
        </w:rPr>
        <w:t>WAS SPRACHLICH PASSIERT</w:t>
      </w:r>
    </w:p>
    <w:tbl>
      <w:tblPr>
        <w:tblW w:w="10263" w:type="dxa"/>
        <w:jc w:val="center"/>
        <w:tblInd w:w="0" w:type="dxa"/>
        <w:tblLayout w:type="fixed"/>
        <w:tblCellMar>
          <w:top w:w="50" w:type="dxa"/>
          <w:left w:w="0" w:type="dxa"/>
          <w:bottom w:w="40" w:type="dxa"/>
          <w:right w:w="170" w:type="dxa"/>
        </w:tblCellMar>
        <w:tblLook w:val="04a0" w:noHBand="0" w:noVBand="1" w:firstColumn="1" w:lastRow="0" w:lastColumn="0" w:firstRow="1"/>
      </w:tblPr>
      <w:tblGrid>
        <w:gridCol w:w="5131"/>
        <w:gridCol w:w="5131"/>
      </w:tblGrid>
      <w:tr>
        <w:trPr>
          <w:cantSplit w:val="true"/>
        </w:trPr>
        <w:tc>
          <w:tcPr>
            <w:tcW w:w="5131" w:type="dxa"/>
            <w:tcBorders/>
          </w:tcPr>
          <w:p>
            <w:pPr>
              <w:pStyle w:val="Normal"/>
              <w:rPr/>
            </w:pPr>
            <w:r>
              <w:rPr>
                <w:b/>
                <w:i w:val="false"/>
                <w:color w:val="233B53"/>
                <w:sz w:val="20"/>
              </w:rPr>
              <w:t>1  Die Person wird zum Gegenargument</w:t>
            </w:r>
          </w:p>
          <w:p>
            <w:pPr>
              <w:pStyle w:val="Normal"/>
              <w:spacing w:before="0" w:after="100"/>
              <w:rPr/>
            </w:pPr>
            <w:r>
              <w:rPr/>
              <w:t>Statt eine Aussage zu prüfen, wird die Person bewertet: als dumm, lächerlich, krank, ungebildet oder grundsätzlich unfähig. Die Aufmerksamkeit verschiebt sich vom Inhalt auf den vermeintlichen Charakter oder Zustand des Sprechers.</w:t>
            </w:r>
          </w:p>
          <w:p>
            <w:pPr>
              <w:pStyle w:val="Normal"/>
              <w:widowControl/>
              <w:bidi w:val="0"/>
              <w:spacing w:lineRule="auto" w:line="259" w:before="0" w:after="70"/>
              <w:jc w:val="left"/>
              <w:rPr/>
            </w:pPr>
            <w:r>
              <w:rPr>
                <w:b/>
                <w:i w:val="false"/>
                <w:color w:val="2F6F73"/>
                <w:sz w:val="18"/>
              </w:rPr>
              <w:t xml:space="preserve">Häufige Kopplung: </w:t>
            </w:r>
            <w:r>
              <w:rPr>
                <w:b w:val="false"/>
                <w:i w:val="false"/>
                <w:color w:val="1F252A"/>
                <w:sz w:val="18"/>
              </w:rPr>
              <w:t>Persönliche Herabsetzung und Kompetenzabwertung treten in 29 Kommentaren gemeinsam auf.</w:t>
            </w:r>
          </w:p>
        </w:tc>
        <w:tc>
          <w:tcPr>
            <w:tcW w:w="5131" w:type="dxa"/>
            <w:tcBorders/>
            <w:tcMar>
              <w:right w:w="0" w:type="dxa"/>
            </w:tcMar>
          </w:tcPr>
          <w:p>
            <w:pPr>
              <w:pStyle w:val="Normal"/>
              <w:rPr/>
            </w:pPr>
            <w:r>
              <w:rPr>
                <w:b/>
                <w:i w:val="false"/>
                <w:color w:val="233B53"/>
                <w:sz w:val="20"/>
              </w:rPr>
              <w:t>2  Epistemische Disqualifizierung</w:t>
            </w:r>
          </w:p>
          <w:p>
            <w:pPr>
              <w:pStyle w:val="Normal"/>
              <w:spacing w:before="0" w:after="100"/>
              <w:rPr/>
            </w:pPr>
            <w:r>
              <w:rPr/>
              <w:t>Wer als grundsätzlich irrational, geistig unfähig oder „krank“ markiert wird, muss scheinbar nicht mehr ernst genommen werden. So wird nicht nur eine Aussage abgewertet, sondern die Fähigkeit der Person, überhaupt sinnvoll am Diskurs teilzunehmen.</w:t>
            </w:r>
          </w:p>
          <w:p>
            <w:pPr>
              <w:pStyle w:val="Normal"/>
              <w:widowControl/>
              <w:bidi w:val="0"/>
              <w:spacing w:lineRule="auto" w:line="259" w:before="0" w:after="70"/>
              <w:jc w:val="left"/>
              <w:rPr/>
            </w:pPr>
            <w:r>
              <w:rPr>
                <w:b/>
                <w:i w:val="false"/>
                <w:color w:val="2F6F73"/>
                <w:sz w:val="18"/>
              </w:rPr>
              <w:t xml:space="preserve">Zweite Kopplung: </w:t>
            </w:r>
            <w:r>
              <w:rPr>
                <w:b w:val="false"/>
                <w:i w:val="false"/>
                <w:color w:val="1F252A"/>
                <w:sz w:val="18"/>
              </w:rPr>
              <w:t>Persönliche Herabsetzung und Pathologisierung treten in 19 Kommentaren gemeinsam auf.</w:t>
            </w:r>
          </w:p>
        </w:tc>
      </w:tr>
    </w:tbl>
    <w:p>
      <w:pPr>
        <w:pStyle w:val="Normal"/>
        <w:keepLines/>
        <w:spacing w:before="160" w:after="60"/>
        <w:rPr>
          <w:rFonts w:ascii="Liberation Sans" w:hAnsi="Liberation Sans"/>
          <w:b/>
          <w:i w:val="false"/>
          <w:i w:val="false"/>
          <w:color w:val="233B53"/>
          <w:sz w:val="17"/>
        </w:rPr>
      </w:pPr>
      <w:r>
        <w:rPr/>
      </w:r>
    </w:p>
    <w:p>
      <w:pPr>
        <w:pStyle w:val="Normal"/>
        <w:spacing w:before="160" w:after="60"/>
        <w:rPr/>
      </w:pPr>
      <w:r>
        <w:rPr>
          <w:b/>
          <w:i w:val="false"/>
          <w:color w:val="233B53"/>
          <w:sz w:val="17"/>
        </w:rPr>
        <w:t>ORIENTIERUNG FÜR KOMMENTARSPALTEN</w:t>
      </w:r>
    </w:p>
    <w:tbl>
      <w:tblPr>
        <w:tblW w:w="10263" w:type="dxa"/>
        <w:jc w:val="center"/>
        <w:tblInd w:w="0" w:type="dxa"/>
        <w:tblLayout w:type="fixed"/>
        <w:tblCellMar>
          <w:top w:w="155" w:type="dxa"/>
          <w:left w:w="190" w:type="dxa"/>
          <w:bottom w:w="145" w:type="dxa"/>
          <w:right w:w="190" w:type="dxa"/>
        </w:tblCellMar>
        <w:tblLook w:val="04a0" w:noHBand="0" w:noVBand="1" w:firstColumn="1" w:lastRow="0" w:lastColumn="0" w:firstRow="1"/>
      </w:tblPr>
      <w:tblGrid>
        <w:gridCol w:w="10263"/>
      </w:tblGrid>
      <w:tr>
        <w:trPr>
          <w:cantSplit w:val="true"/>
        </w:trPr>
        <w:tc>
          <w:tcPr>
            <w:tcW w:w="10263" w:type="dxa"/>
            <w:tcBorders/>
            <w:shd w:fill="233B53"/>
          </w:tcPr>
          <w:p>
            <w:pPr>
              <w:pStyle w:val="Normal"/>
              <w:spacing w:before="0" w:after="80"/>
              <w:jc w:val="center"/>
              <w:rPr/>
            </w:pPr>
            <w:r>
              <w:rPr>
                <w:b/>
                <w:i w:val="false"/>
                <w:color w:val="FFFFFF"/>
                <w:sz w:val="24"/>
              </w:rPr>
              <w:t>Wo ist das Gegenargument?</w:t>
            </w:r>
          </w:p>
          <w:p>
            <w:pPr>
              <w:pStyle w:val="Normal"/>
              <w:spacing w:before="0" w:after="100"/>
              <w:jc w:val="center"/>
              <w:rPr/>
            </w:pPr>
            <w:r>
              <w:rPr>
                <w:b/>
                <w:i w:val="false"/>
                <w:color w:val="FFFFFF"/>
                <w:sz w:val="21"/>
              </w:rPr>
              <w:t>Wird eine Aussage begründet kritisiert – oder wird nur erklärt, warum der Mensch, der sie äußert, angeblich nicht ernst genommen werden muss?</w:t>
            </w:r>
          </w:p>
          <w:p>
            <w:pPr>
              <w:pStyle w:val="Normal"/>
              <w:spacing w:before="0" w:after="0"/>
              <w:jc w:val="center"/>
              <w:rPr/>
            </w:pPr>
            <w:r>
              <w:rPr>
                <w:b w:val="false"/>
                <w:i w:val="false"/>
                <w:color w:val="DDE7EE"/>
                <w:sz w:val="17"/>
              </w:rPr>
              <w:t>Eine Abwertung der Person widerlegt keine Aussage.</w:t>
            </w:r>
          </w:p>
        </w:tc>
      </w:tr>
    </w:tbl>
    <w:p>
      <w:pPr>
        <w:pStyle w:val="Normal"/>
        <w:keepLines/>
        <w:spacing w:before="160" w:after="60"/>
        <w:rPr>
          <w:rFonts w:ascii="Liberation Sans" w:hAnsi="Liberation Sans"/>
          <w:b/>
          <w:i w:val="false"/>
          <w:i w:val="false"/>
          <w:color w:val="233B53"/>
          <w:sz w:val="17"/>
        </w:rPr>
      </w:pPr>
      <w:r>
        <w:rPr/>
      </w:r>
    </w:p>
    <w:p>
      <w:pPr>
        <w:pStyle w:val="Normal"/>
        <w:spacing w:before="160" w:after="60"/>
        <w:rPr/>
      </w:pPr>
      <w:r>
        <w:rPr>
          <w:b/>
          <w:i w:val="false"/>
          <w:color w:val="233B53"/>
          <w:sz w:val="17"/>
        </w:rPr>
        <w:t>WARUM IST DAS RELEVANT?</w:t>
      </w:r>
    </w:p>
    <w:tbl>
      <w:tblPr>
        <w:tblW w:w="10263" w:type="dxa"/>
        <w:jc w:val="center"/>
        <w:tblInd w:w="0" w:type="dxa"/>
        <w:tblLayout w:type="fixed"/>
        <w:tblCellMar>
          <w:top w:w="110" w:type="dxa"/>
          <w:left w:w="120" w:type="dxa"/>
          <w:bottom w:w="105" w:type="dxa"/>
          <w:right w:w="120" w:type="dxa"/>
        </w:tblCellMar>
        <w:tblLook w:val="04a0" w:noHBand="0" w:noVBand="1" w:firstColumn="1" w:lastRow="0" w:lastColumn="0" w:firstRow="1"/>
      </w:tblPr>
      <w:tblGrid>
        <w:gridCol w:w="3421"/>
        <w:gridCol w:w="3421"/>
        <w:gridCol w:w="3421"/>
      </w:tblGrid>
      <w:tr>
        <w:trPr>
          <w:cantSplit w:val="true"/>
        </w:trPr>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pPr>
            <w:r>
              <w:rPr>
                <w:b/>
                <w:i w:val="false"/>
                <w:color w:val="233B53"/>
                <w:sz w:val="17"/>
              </w:rPr>
              <w:t>1  Die Sachebene verschwindet</w:t>
            </w:r>
          </w:p>
          <w:p>
            <w:pPr>
              <w:pStyle w:val="Normal"/>
              <w:spacing w:before="0" w:after="0"/>
              <w:rPr/>
            </w:pPr>
            <w:r>
              <w:rPr>
                <w:b w:val="false"/>
                <w:i w:val="false"/>
                <w:color w:val="1F252A"/>
                <w:sz w:val="15"/>
              </w:rPr>
              <w:t>Je stärker die Person selbst zum Thema wird, desto weniger muss über ihre eigentliche Aussage gesprochen werden.</w:t>
            </w:r>
          </w:p>
        </w:tc>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pPr>
            <w:r>
              <w:rPr>
                <w:b/>
                <w:i w:val="false"/>
                <w:color w:val="233B53"/>
                <w:sz w:val="17"/>
              </w:rPr>
              <w:t>2  Legitimität wird entzogen</w:t>
            </w:r>
          </w:p>
          <w:p>
            <w:pPr>
              <w:pStyle w:val="Normal"/>
              <w:spacing w:before="0" w:after="0"/>
              <w:rPr/>
            </w:pPr>
            <w:r>
              <w:rPr>
                <w:b w:val="false"/>
                <w:i w:val="false"/>
                <w:color w:val="1F252A"/>
                <w:sz w:val="15"/>
              </w:rPr>
              <w:t>Die Abwertung vermittelt Mitlesenden: Diese Person oder Gruppe muss man nicht als gleichberechtigte Stimme behandeln.</w:t>
            </w:r>
          </w:p>
        </w:tc>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pPr>
            <w:r>
              <w:rPr>
                <w:b/>
                <w:i w:val="false"/>
                <w:color w:val="233B53"/>
                <w:sz w:val="17"/>
              </w:rPr>
              <w:t>3  Spott erleichtert Anschluss</w:t>
            </w:r>
          </w:p>
          <w:p>
            <w:pPr>
              <w:pStyle w:val="Normal"/>
              <w:spacing w:before="0" w:after="0"/>
              <w:rPr/>
            </w:pPr>
            <w:r>
              <w:rPr>
                <w:b w:val="false"/>
                <w:i w:val="false"/>
                <w:color w:val="1F252A"/>
                <w:sz w:val="15"/>
              </w:rPr>
              <w:t>Kurze Herabsetzungen sind leicht verständlich, leicht wiederholbar und können sich mit weiteren Abwertungsmustern verbinden.</w:t>
            </w:r>
          </w:p>
        </w:tc>
      </w:tr>
      <w:tr>
        <w:trPr>
          <w:cantSplit w:val="true"/>
        </w:trPr>
        <w:tc>
          <w:tcPr>
            <w:tcW w:w="10263" w:type="dxa"/>
            <w:gridSpan w:val="3"/>
            <w:tcBorders>
              <w:left w:val="single" w:sz="14" w:space="0" w:color="2F6F73"/>
            </w:tcBorders>
            <w:shd w:fill="EEF5F3"/>
            <w:tcMar>
              <w:top w:w="95" w:type="dxa"/>
              <w:left w:w="150" w:type="dxa"/>
              <w:bottom w:w="95" w:type="dxa"/>
              <w:right w:w="150" w:type="dxa"/>
            </w:tcMar>
          </w:tcPr>
          <w:p>
            <w:pPr>
              <w:pStyle w:val="Normal"/>
              <w:spacing w:before="0" w:after="0"/>
              <w:rPr/>
            </w:pPr>
            <w:r>
              <w:rPr>
                <w:b/>
                <w:i w:val="false"/>
                <w:color w:val="2F6F73"/>
                <w:sz w:val="16"/>
              </w:rPr>
              <w:t xml:space="preserve">LERNZIEL  </w:t>
            </w:r>
            <w:r>
              <w:rPr>
                <w:b w:val="false"/>
                <w:i w:val="false"/>
                <w:color w:val="1F252A"/>
                <w:sz w:val="16"/>
              </w:rPr>
              <w:t>Teilnehmende unterscheiden zwischen Kritik an einer Aussage und der Disqualifizierung des Menschen, der sie äußert.</w:t>
            </w:r>
          </w:p>
        </w:tc>
      </w:tr>
    </w:tbl>
    <w:p>
      <w:pPr>
        <w:pStyle w:val="Normal"/>
        <w:keepLines/>
        <w:pBdr>
          <w:top w:val="single" w:sz="6" w:space="0" w:color="D5DEE4"/>
        </w:pBdr>
        <w:spacing w:before="140" w:after="0"/>
        <w:rPr/>
      </w:pPr>
      <w:r>
        <w:rPr>
          <w:b/>
          <w:i w:val="false"/>
          <w:color w:val="233B53"/>
          <w:sz w:val="14"/>
        </w:rPr>
        <w:t xml:space="preserve">DATENGRUNDLAGE  </w:t>
      </w:r>
      <w:r>
        <w:rPr>
          <w:b w:val="false"/>
          <w:i w:val="false"/>
          <w:color w:val="5D6870"/>
          <w:sz w:val="14"/>
        </w:rPr>
        <w:t>317 feindselig-abwertende Textkommentare aus einer dokumentierten Facebook-Kommentarspalte. Systematische Fallanalyse, keine repräsentative Untersuchung sozialer Medien. Mehrfachcodierungen einzelner Kommentare waren möglich.</w:t>
      </w:r>
    </w:p>
    <w:p>
      <w:pPr>
        <w:pStyle w:val="Normal"/>
        <w:keepLines/>
        <w:rPr/>
      </w:pPr>
      <w:r>
        <w:rPr/>
      </w:r>
      <w:r>
        <w:br w:type="page"/>
      </w:r>
    </w:p>
    <w:p>
      <w:pPr>
        <w:pStyle w:val="Normal"/>
        <w:keepLines/>
        <w:spacing w:before="180" w:after="20"/>
        <w:rPr/>
      </w:pPr>
      <w:r>
        <w:rPr>
          <w:b/>
          <w:i w:val="false"/>
          <w:color w:val="233B53"/>
          <w:sz w:val="43"/>
        </w:rPr>
        <w:t>Muster erkennen</w:t>
      </w:r>
    </w:p>
    <w:p>
      <w:pPr>
        <w:pStyle w:val="Normal"/>
        <w:keepLines/>
        <w:spacing w:before="0" w:after="120"/>
        <w:rPr/>
      </w:pPr>
      <w:r>
        <w:rPr>
          <w:b/>
          <w:i w:val="false"/>
          <w:color w:val="2F6F73"/>
          <w:sz w:val="22"/>
        </w:rPr>
        <w:t>Originalbeispiele: vom Spott zur Disqualifizierung</w:t>
      </w:r>
    </w:p>
    <w:tbl>
      <w:tblPr>
        <w:tblW w:w="10263" w:type="dxa"/>
        <w:jc w:val="center"/>
        <w:tblInd w:w="0" w:type="dxa"/>
        <w:tblLayout w:type="fixed"/>
        <w:tblCellMar>
          <w:top w:w="110" w:type="dxa"/>
          <w:left w:w="160" w:type="dxa"/>
          <w:bottom w:w="105" w:type="dxa"/>
          <w:right w:w="160" w:type="dxa"/>
        </w:tblCellMar>
        <w:tblLook w:val="04a0" w:noHBand="0" w:noVBand="1" w:firstColumn="1" w:lastRow="0" w:lastColumn="0" w:firstRow="1"/>
      </w:tblPr>
      <w:tblGrid>
        <w:gridCol w:w="10263"/>
      </w:tblGrid>
      <w:tr>
        <w:trPr>
          <w:cantSplit w:val="true"/>
        </w:trPr>
        <w:tc>
          <w:tcPr>
            <w:tcW w:w="10263" w:type="dxa"/>
            <w:tcBorders>
              <w:left w:val="single" w:sz="16" w:space="0" w:color="2F6F73"/>
            </w:tcBorders>
            <w:shd w:fill="EAF1F6"/>
          </w:tcPr>
          <w:p>
            <w:pPr>
              <w:pStyle w:val="Normal"/>
              <w:spacing w:before="0" w:after="40"/>
              <w:rPr/>
            </w:pPr>
            <w:r>
              <w:rPr>
                <w:b/>
                <w:i w:val="false"/>
                <w:color w:val="2F6F73"/>
                <w:sz w:val="16"/>
              </w:rPr>
              <w:t>HINWEIS ZUR ARBEIT MIT DEN BEISPIELEN</w:t>
            </w:r>
          </w:p>
          <w:p>
            <w:pPr>
              <w:pStyle w:val="Normal"/>
              <w:spacing w:before="0" w:after="40"/>
              <w:rPr/>
            </w:pPr>
            <w:r>
              <w:rPr>
                <w:b w:val="false"/>
                <w:i w:val="false"/>
                <w:color w:val="1F252A"/>
                <w:sz w:val="17"/>
              </w:rPr>
              <w:t>Die Originalkommentare sind anonymisiert und in der ursprünglichen Schreibweise weitgehend beibehalten. Die Auswahl enthält zwei Beispiele niedriger, zwei mittlerer und ein Beispiel sehr hoher Intensität.</w:t>
            </w:r>
          </w:p>
          <w:p>
            <w:pPr>
              <w:pStyle w:val="Normal"/>
              <w:spacing w:before="0" w:after="0"/>
              <w:rPr/>
            </w:pPr>
            <w:r>
              <w:rPr>
                <w:b/>
                <w:i w:val="false"/>
                <w:color w:val="1F252A"/>
                <w:sz w:val="17"/>
              </w:rPr>
              <w:t>Das letzte Beispiel verbindet persönliche Abwertung mit einer Gewaltfantasie. Es sollte im Workshop nur gerahmt und mit angemessener Vorwarnung eingesetzt werden.</w:t>
            </w:r>
          </w:p>
        </w:tc>
      </w:tr>
    </w:tbl>
    <w:p>
      <w:pPr>
        <w:pStyle w:val="Normal"/>
        <w:keepLines/>
        <w:spacing w:before="100" w:after="60"/>
        <w:rPr/>
      </w:pPr>
      <w:r>
        <w:rPr>
          <w:b/>
          <w:i w:val="false"/>
          <w:color w:val="233B53"/>
          <w:sz w:val="16"/>
        </w:rPr>
        <w:t>FÜNF BEISPIELE AUS DEM KORPUS</w:t>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2550"/>
        <w:gridCol w:w="7711"/>
      </w:tblGrid>
      <w:tr>
        <w:trPr>
          <w:cantSplit w:val="true"/>
        </w:trPr>
        <w:tc>
          <w:tcPr>
            <w:tcW w:w="2550" w:type="dxa"/>
            <w:tcBorders>
              <w:top w:val="single" w:sz="4" w:space="0" w:color="D5DEE4"/>
              <w:left w:val="single" w:sz="16" w:space="0" w:color="2F6F73"/>
              <w:bottom w:val="single" w:sz="4" w:space="0" w:color="D5DEE4"/>
              <w:right w:val="single" w:sz="4" w:space="0" w:color="D5DEE4"/>
            </w:tcBorders>
            <w:shd w:fill="EEF5F3"/>
            <w:vAlign w:val="center"/>
          </w:tcPr>
          <w:p>
            <w:pPr>
              <w:pStyle w:val="Normal"/>
              <w:spacing w:before="0" w:after="20"/>
              <w:rPr/>
            </w:pPr>
            <w:r>
              <w:rPr>
                <w:b/>
                <w:i w:val="false"/>
                <w:color w:val="2F6F73"/>
                <w:sz w:val="14"/>
              </w:rPr>
              <w:t>NIEDRIGE INTENSITÄT</w:t>
            </w:r>
          </w:p>
          <w:p>
            <w:pPr>
              <w:pStyle w:val="Normal"/>
              <w:spacing w:before="0" w:after="0"/>
              <w:rPr/>
            </w:pPr>
            <w:r>
              <w:rPr>
                <w:b/>
                <w:i w:val="false"/>
                <w:color w:val="233B53"/>
                <w:sz w:val="18"/>
              </w:rPr>
              <w:t>STUFE 1</w:t>
            </w:r>
          </w:p>
        </w:tc>
        <w:tc>
          <w:tcPr>
            <w:tcW w:w="7711" w:type="dxa"/>
            <w:tcBorders>
              <w:top w:val="single" w:sz="4" w:space="0" w:color="D5DEE4"/>
              <w:left w:val="single" w:sz="4" w:space="0" w:color="D5DEE4"/>
              <w:bottom w:val="single" w:sz="4" w:space="0" w:color="D5DEE4"/>
              <w:right w:val="single" w:sz="4" w:space="0" w:color="D5DEE4"/>
            </w:tcBorders>
            <w:shd w:fill="EEF5F3"/>
            <w:tcMar>
              <w:top w:w="100" w:type="dxa"/>
              <w:left w:w="145" w:type="dxa"/>
              <w:right w:w="145" w:type="dxa"/>
            </w:tcMar>
            <w:vAlign w:val="center"/>
          </w:tcPr>
          <w:p>
            <w:pPr>
              <w:pStyle w:val="Normal"/>
              <w:spacing w:before="0" w:after="60"/>
              <w:rPr/>
            </w:pPr>
            <w:r>
              <w:rPr>
                <w:b/>
                <w:i w:val="false"/>
                <w:color w:val="1F252A"/>
                <w:sz w:val="19"/>
              </w:rPr>
              <w:t>„</w:t>
            </w:r>
            <w:r>
              <w:rPr>
                <w:b/>
                <w:i w:val="false"/>
                <w:color w:val="1F252A"/>
                <w:sz w:val="19"/>
              </w:rPr>
              <w:t>Ob der Gesamt-IQ dieser Veranstaltung wohl die 100 Punkte überschreitet?“</w:t>
            </w:r>
          </w:p>
          <w:p>
            <w:pPr>
              <w:pStyle w:val="Normal"/>
              <w:spacing w:before="0" w:after="0"/>
              <w:rPr/>
            </w:pPr>
            <w:r>
              <w:rPr>
                <w:b/>
                <w:i w:val="false"/>
                <w:color w:val="2F6F73"/>
                <w:sz w:val="16"/>
              </w:rPr>
              <w:t xml:space="preserve">Muster: </w:t>
            </w:r>
            <w:r>
              <w:rPr>
                <w:b w:val="false"/>
                <w:i w:val="false"/>
                <w:color w:val="1F252A"/>
                <w:sz w:val="16"/>
              </w:rPr>
              <w:t>Die politische oder sachliche Ebene wird umgangen. Stattdessen wird der gesamten Gruppe mangelnde Intelligenz zugeschrieben.</w:t>
            </w:r>
          </w:p>
        </w:tc>
      </w:tr>
    </w:tbl>
    <w:p>
      <w:pPr>
        <w:pStyle w:val="Normal"/>
        <w:keepLines/>
        <w:spacing w:before="0" w:after="10"/>
        <w:rPr/>
      </w:pPr>
      <w:r>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2550"/>
        <w:gridCol w:w="7711"/>
      </w:tblGrid>
      <w:tr>
        <w:trPr>
          <w:cantSplit w:val="true"/>
        </w:trPr>
        <w:tc>
          <w:tcPr>
            <w:tcW w:w="2550" w:type="dxa"/>
            <w:tcBorders>
              <w:top w:val="single" w:sz="4" w:space="0" w:color="D5DEE4"/>
              <w:left w:val="single" w:sz="16" w:space="0" w:color="2F6F73"/>
              <w:bottom w:val="single" w:sz="4" w:space="0" w:color="D5DEE4"/>
              <w:right w:val="single" w:sz="4" w:space="0" w:color="D5DEE4"/>
            </w:tcBorders>
            <w:shd w:fill="EEF5F3"/>
            <w:vAlign w:val="center"/>
          </w:tcPr>
          <w:p>
            <w:pPr>
              <w:pStyle w:val="Normal"/>
              <w:spacing w:before="0" w:after="20"/>
              <w:rPr/>
            </w:pPr>
            <w:r>
              <w:rPr>
                <w:b/>
                <w:i w:val="false"/>
                <w:color w:val="2F6F73"/>
                <w:sz w:val="14"/>
              </w:rPr>
              <w:t>NIEDRIGE INTENSITÄT</w:t>
            </w:r>
          </w:p>
          <w:p>
            <w:pPr>
              <w:pStyle w:val="Normal"/>
              <w:spacing w:before="0" w:after="0"/>
              <w:rPr/>
            </w:pPr>
            <w:r>
              <w:rPr>
                <w:b/>
                <w:i w:val="false"/>
                <w:color w:val="233B53"/>
                <w:sz w:val="18"/>
              </w:rPr>
              <w:t>STUFE 1</w:t>
            </w:r>
          </w:p>
        </w:tc>
        <w:tc>
          <w:tcPr>
            <w:tcW w:w="7711" w:type="dxa"/>
            <w:tcBorders>
              <w:top w:val="single" w:sz="4" w:space="0" w:color="D5DEE4"/>
              <w:left w:val="single" w:sz="4" w:space="0" w:color="D5DEE4"/>
              <w:bottom w:val="single" w:sz="4" w:space="0" w:color="D5DEE4"/>
              <w:right w:val="single" w:sz="4" w:space="0" w:color="D5DEE4"/>
            </w:tcBorders>
            <w:shd w:fill="EEF5F3"/>
            <w:tcMar>
              <w:top w:w="100" w:type="dxa"/>
              <w:left w:w="145" w:type="dxa"/>
              <w:right w:w="145" w:type="dxa"/>
            </w:tcMar>
            <w:vAlign w:val="center"/>
          </w:tcPr>
          <w:p>
            <w:pPr>
              <w:pStyle w:val="Normal"/>
              <w:spacing w:before="0" w:after="60"/>
              <w:rPr/>
            </w:pPr>
            <w:r>
              <w:rPr>
                <w:b/>
                <w:i w:val="false"/>
                <w:color w:val="1F252A"/>
                <w:sz w:val="19"/>
              </w:rPr>
              <w:t>„</w:t>
            </w:r>
            <w:r>
              <w:rPr>
                <w:b/>
                <w:i w:val="false"/>
                <w:color w:val="1F252A"/>
                <w:sz w:val="19"/>
              </w:rPr>
              <w:t>Alete, Alete. Im Kopf nur bunte Knete“</w:t>
            </w:r>
          </w:p>
          <w:p>
            <w:pPr>
              <w:pStyle w:val="Normal"/>
              <w:spacing w:before="0" w:after="0"/>
              <w:rPr/>
            </w:pPr>
            <w:r>
              <w:rPr>
                <w:b/>
                <w:i w:val="false"/>
                <w:color w:val="2F6F73"/>
                <w:sz w:val="16"/>
              </w:rPr>
              <w:t xml:space="preserve">Muster: </w:t>
            </w:r>
            <w:r>
              <w:rPr>
                <w:b w:val="false"/>
                <w:i w:val="false"/>
                <w:color w:val="1F252A"/>
                <w:sz w:val="16"/>
              </w:rPr>
              <w:t>Die Reimform macht aus der Kompetenzabwertung eine Pointe. Der Kommentar liefert kein Gegenargument, sondern markiert die Adressierten als geistig nicht ernst zu nehmen.</w:t>
            </w:r>
          </w:p>
        </w:tc>
      </w:tr>
    </w:tbl>
    <w:p>
      <w:pPr>
        <w:pStyle w:val="Normal"/>
        <w:keepLines/>
        <w:spacing w:before="0" w:after="10"/>
        <w:rPr/>
      </w:pPr>
      <w:r>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4020"/>
        <w:gridCol w:w="6241"/>
      </w:tblGrid>
      <w:tr>
        <w:trPr>
          <w:cantSplit w:val="true"/>
        </w:trPr>
        <w:tc>
          <w:tcPr>
            <w:tcW w:w="4020" w:type="dxa"/>
            <w:tcBorders>
              <w:top w:val="single" w:sz="4" w:space="0" w:color="D5DEE4"/>
              <w:left w:val="single" w:sz="16" w:space="0" w:color="7B673E"/>
              <w:bottom w:val="single" w:sz="4" w:space="0" w:color="D5DEE4"/>
              <w:right w:val="single" w:sz="4" w:space="0" w:color="D5DEE4"/>
            </w:tcBorders>
            <w:shd w:fill="F6F2E8"/>
            <w:vAlign w:val="center"/>
          </w:tcPr>
          <w:p>
            <w:pPr>
              <w:pStyle w:val="Normal"/>
              <w:spacing w:before="0" w:after="20"/>
              <w:rPr/>
            </w:pPr>
            <w:r>
              <w:rPr>
                <w:b/>
                <w:i w:val="false"/>
                <w:color w:val="7B673E"/>
                <w:sz w:val="14"/>
              </w:rPr>
              <w:t>MITTLERE INTENSITÄT</w:t>
            </w:r>
          </w:p>
          <w:p>
            <w:pPr>
              <w:pStyle w:val="Normal"/>
              <w:spacing w:before="0" w:after="0"/>
              <w:rPr/>
            </w:pPr>
            <w:r>
              <w:rPr>
                <w:b/>
                <w:i w:val="false"/>
                <w:color w:val="233B53"/>
                <w:sz w:val="18"/>
              </w:rPr>
              <w:t>STUFE 2</w:t>
            </w:r>
          </w:p>
        </w:tc>
        <w:tc>
          <w:tcPr>
            <w:tcW w:w="6241" w:type="dxa"/>
            <w:tcBorders>
              <w:top w:val="single" w:sz="4" w:space="0" w:color="D5DEE4"/>
              <w:left w:val="single" w:sz="4" w:space="0" w:color="D5DEE4"/>
              <w:bottom w:val="single" w:sz="4" w:space="0" w:color="D5DEE4"/>
              <w:right w:val="single" w:sz="4" w:space="0" w:color="D5DEE4"/>
            </w:tcBorders>
            <w:shd w:fill="F6F2E8"/>
            <w:tcMar>
              <w:top w:w="100" w:type="dxa"/>
              <w:left w:w="145" w:type="dxa"/>
              <w:right w:w="145" w:type="dxa"/>
            </w:tcMar>
            <w:vAlign w:val="center"/>
          </w:tcPr>
          <w:p>
            <w:pPr>
              <w:pStyle w:val="Normal"/>
              <w:spacing w:before="0" w:after="60"/>
              <w:rPr/>
            </w:pPr>
            <w:r>
              <w:rPr>
                <w:b/>
                <w:i w:val="false"/>
                <w:color w:val="1F252A"/>
                <w:sz w:val="19"/>
              </w:rPr>
              <w:t>„</w:t>
            </w:r>
            <w:r>
              <w:rPr>
                <w:b/>
                <w:i w:val="false"/>
                <w:color w:val="1F252A"/>
                <w:sz w:val="19"/>
              </w:rPr>
              <w:t>Dumm dümmer Alerta“</w:t>
            </w:r>
          </w:p>
          <w:p>
            <w:pPr>
              <w:pStyle w:val="Normal"/>
              <w:spacing w:before="0" w:after="0"/>
              <w:rPr/>
            </w:pPr>
            <w:r>
              <w:rPr>
                <w:b/>
                <w:i w:val="false"/>
                <w:color w:val="7B673E"/>
                <w:sz w:val="16"/>
              </w:rPr>
              <w:t xml:space="preserve">Muster: </w:t>
            </w:r>
            <w:r>
              <w:rPr>
                <w:b w:val="false"/>
                <w:i w:val="false"/>
                <w:color w:val="1F252A"/>
                <w:sz w:val="16"/>
              </w:rPr>
              <w:t>Persönliche Herabsetzung und Kompetenzabwertung fallen zusammen. Die politische Selbstbezeichnung wird unmittelbar mit Dummheit gekoppelt.</w:t>
            </w:r>
          </w:p>
        </w:tc>
      </w:tr>
    </w:tbl>
    <w:p>
      <w:pPr>
        <w:pStyle w:val="Normal"/>
        <w:keepLines/>
        <w:spacing w:before="0" w:after="10"/>
        <w:rPr/>
      </w:pPr>
      <w:r>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4020"/>
        <w:gridCol w:w="6241"/>
      </w:tblGrid>
      <w:tr>
        <w:trPr>
          <w:cantSplit w:val="true"/>
        </w:trPr>
        <w:tc>
          <w:tcPr>
            <w:tcW w:w="4020" w:type="dxa"/>
            <w:tcBorders>
              <w:top w:val="single" w:sz="4" w:space="0" w:color="D5DEE4"/>
              <w:left w:val="single" w:sz="16" w:space="0" w:color="7B673E"/>
              <w:bottom w:val="single" w:sz="4" w:space="0" w:color="D5DEE4"/>
              <w:right w:val="single" w:sz="4" w:space="0" w:color="D5DEE4"/>
            </w:tcBorders>
            <w:shd w:fill="F6F2E8"/>
            <w:vAlign w:val="center"/>
          </w:tcPr>
          <w:p>
            <w:pPr>
              <w:pStyle w:val="Normal"/>
              <w:spacing w:before="0" w:after="20"/>
              <w:rPr/>
            </w:pPr>
            <w:r>
              <w:rPr>
                <w:b/>
                <w:i w:val="false"/>
                <w:color w:val="7B673E"/>
                <w:sz w:val="14"/>
              </w:rPr>
              <w:t>MITTLERE INTENSITÄT</w:t>
            </w:r>
          </w:p>
          <w:p>
            <w:pPr>
              <w:pStyle w:val="Normal"/>
              <w:spacing w:before="0" w:after="0"/>
              <w:rPr/>
            </w:pPr>
            <w:r>
              <w:rPr>
                <w:b/>
                <w:i w:val="false"/>
                <w:color w:val="233B53"/>
                <w:sz w:val="18"/>
              </w:rPr>
              <w:t>STUFE 2</w:t>
            </w:r>
          </w:p>
        </w:tc>
        <w:tc>
          <w:tcPr>
            <w:tcW w:w="6241" w:type="dxa"/>
            <w:tcBorders>
              <w:top w:val="single" w:sz="4" w:space="0" w:color="D5DEE4"/>
              <w:left w:val="single" w:sz="4" w:space="0" w:color="D5DEE4"/>
              <w:bottom w:val="single" w:sz="4" w:space="0" w:color="D5DEE4"/>
              <w:right w:val="single" w:sz="4" w:space="0" w:color="D5DEE4"/>
            </w:tcBorders>
            <w:shd w:fill="F6F2E8"/>
            <w:tcMar>
              <w:top w:w="100" w:type="dxa"/>
              <w:left w:w="145" w:type="dxa"/>
              <w:right w:w="145" w:type="dxa"/>
            </w:tcMar>
            <w:vAlign w:val="center"/>
          </w:tcPr>
          <w:p>
            <w:pPr>
              <w:pStyle w:val="Normal"/>
              <w:spacing w:before="0" w:after="60"/>
              <w:rPr/>
            </w:pPr>
            <w:r>
              <w:rPr>
                <w:b/>
                <w:i w:val="false"/>
                <w:color w:val="1F252A"/>
                <w:sz w:val="19"/>
              </w:rPr>
              <w:t>„</w:t>
            </w:r>
            <w:r>
              <w:rPr>
                <w:b/>
                <w:i w:val="false"/>
                <w:color w:val="1F252A"/>
                <w:sz w:val="19"/>
              </w:rPr>
              <w:t>Das Irrenhaus gibt sein Dorffest“</w:t>
            </w:r>
          </w:p>
          <w:p>
            <w:pPr>
              <w:pStyle w:val="Normal"/>
              <w:spacing w:before="0" w:after="0"/>
              <w:rPr/>
            </w:pPr>
            <w:r>
              <w:rPr>
                <w:b/>
                <w:i w:val="false"/>
                <w:color w:val="7B673E"/>
                <w:sz w:val="16"/>
              </w:rPr>
              <w:t xml:space="preserve">Muster: </w:t>
            </w:r>
            <w:r>
              <w:rPr>
                <w:b w:val="false"/>
                <w:i w:val="false"/>
                <w:color w:val="1F252A"/>
                <w:sz w:val="16"/>
              </w:rPr>
              <w:t>Politischer Widerspruch wird pathologisiert: Die Gruppe wird über ein Bild psychischer Krankheit als grundsätzlich irrational und nicht diskursfähig markiert.</w:t>
            </w:r>
          </w:p>
        </w:tc>
      </w:tr>
    </w:tbl>
    <w:p>
      <w:pPr>
        <w:pStyle w:val="Normal"/>
        <w:keepLines/>
        <w:spacing w:before="0" w:after="10"/>
        <w:rPr/>
      </w:pPr>
      <w:r>
        <w:rPr/>
      </w:r>
    </w:p>
    <w:tbl>
      <w:tblPr>
        <w:tblW w:w="10263"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5131"/>
        <w:gridCol w:w="5131"/>
      </w:tblGrid>
      <w:tr>
        <w:trPr>
          <w:cantSplit w:val="true"/>
        </w:trPr>
        <w:tc>
          <w:tcPr>
            <w:tcW w:w="5131" w:type="dxa"/>
            <w:tcBorders>
              <w:top w:val="single" w:sz="4" w:space="0" w:color="D5DEE4"/>
              <w:left w:val="single" w:sz="16" w:space="0" w:color="87414B"/>
              <w:bottom w:val="single" w:sz="4" w:space="0" w:color="D5DEE4"/>
              <w:right w:val="single" w:sz="4" w:space="0" w:color="D5DEE4"/>
            </w:tcBorders>
            <w:shd w:fill="F7ECEE"/>
            <w:vAlign w:val="center"/>
          </w:tcPr>
          <w:p>
            <w:pPr>
              <w:pStyle w:val="Normal"/>
              <w:spacing w:before="0" w:after="20"/>
              <w:rPr/>
            </w:pPr>
            <w:r>
              <w:rPr>
                <w:b/>
                <w:i w:val="false"/>
                <w:color w:val="87414B"/>
                <w:sz w:val="14"/>
              </w:rPr>
              <w:t>SEHR HOHE INTENSITÄT</w:t>
            </w:r>
          </w:p>
          <w:p>
            <w:pPr>
              <w:pStyle w:val="Normal"/>
              <w:spacing w:before="0" w:after="0"/>
              <w:rPr/>
            </w:pPr>
            <w:r>
              <w:rPr>
                <w:b/>
                <w:i w:val="false"/>
                <w:color w:val="233B53"/>
                <w:sz w:val="18"/>
              </w:rPr>
              <w:t>STUFE 4</w:t>
            </w:r>
          </w:p>
        </w:tc>
        <w:tc>
          <w:tcPr>
            <w:tcW w:w="5131" w:type="dxa"/>
            <w:tcBorders>
              <w:top w:val="single" w:sz="4" w:space="0" w:color="D5DEE4"/>
              <w:left w:val="single" w:sz="4" w:space="0" w:color="D5DEE4"/>
              <w:bottom w:val="single" w:sz="4" w:space="0" w:color="D5DEE4"/>
              <w:right w:val="single" w:sz="4" w:space="0" w:color="D5DEE4"/>
            </w:tcBorders>
            <w:shd w:fill="F7ECEE"/>
            <w:tcMar>
              <w:top w:w="100" w:type="dxa"/>
              <w:left w:w="145" w:type="dxa"/>
              <w:right w:w="145" w:type="dxa"/>
            </w:tcMar>
            <w:vAlign w:val="center"/>
          </w:tcPr>
          <w:p>
            <w:pPr>
              <w:pStyle w:val="Normal"/>
              <w:spacing w:before="0" w:after="60"/>
              <w:rPr/>
            </w:pPr>
            <w:r>
              <w:rPr>
                <w:b/>
                <w:i w:val="false"/>
                <w:color w:val="1F252A"/>
                <w:sz w:val="19"/>
              </w:rPr>
              <w:t>„</w:t>
            </w:r>
            <w:r>
              <w:rPr>
                <w:b/>
                <w:i w:val="false"/>
                <w:color w:val="1F252A"/>
                <w:sz w:val="19"/>
              </w:rPr>
              <w:t>So viele Huren Kinder auf einen Haufen und nie hat man eine Handgranate wenn man sie braucht“</w:t>
            </w:r>
          </w:p>
          <w:p>
            <w:pPr>
              <w:pStyle w:val="Normal"/>
              <w:spacing w:before="0" w:after="0"/>
              <w:rPr/>
            </w:pPr>
            <w:r>
              <w:rPr>
                <w:b/>
                <w:i w:val="false"/>
                <w:color w:val="87414B"/>
                <w:sz w:val="16"/>
              </w:rPr>
              <w:t xml:space="preserve">Muster: </w:t>
            </w:r>
            <w:r>
              <w:rPr>
                <w:b w:val="false"/>
                <w:i w:val="false"/>
                <w:color w:val="1F252A"/>
                <w:sz w:val="16"/>
              </w:rPr>
              <w:t>Die persönliche Entwertung kippt in eine Gewaltfantasie. Aus der Disqualifizierung der Menschen wird die Vorstellung, Gewalt gegen sie sei wünschenswert.</w:t>
            </w:r>
          </w:p>
        </w:tc>
      </w:tr>
    </w:tbl>
    <w:p>
      <w:pPr>
        <w:pStyle w:val="Normal"/>
        <w:keepLines/>
        <w:spacing w:before="0" w:after="10"/>
        <w:rPr/>
      </w:pPr>
      <w:r>
        <w:rPr/>
      </w:r>
    </w:p>
    <w:p>
      <w:pPr>
        <w:pStyle w:val="Normal"/>
        <w:keepLines/>
        <w:spacing w:before="80" w:after="60"/>
        <w:rPr/>
      </w:pPr>
      <w:r>
        <w:rPr>
          <w:b/>
          <w:i w:val="false"/>
          <w:color w:val="233B53"/>
          <w:sz w:val="16"/>
        </w:rPr>
        <w:t>ARBEITSAUFTRAG</w:t>
      </w:r>
    </w:p>
    <w:tbl>
      <w:tblPr>
        <w:tblW w:w="10263" w:type="dxa"/>
        <w:jc w:val="center"/>
        <w:tblInd w:w="0" w:type="dxa"/>
        <w:tblLayout w:type="fixed"/>
        <w:tblCellMar>
          <w:top w:w="110" w:type="dxa"/>
          <w:left w:w="165" w:type="dxa"/>
          <w:bottom w:w="105" w:type="dxa"/>
          <w:right w:w="165" w:type="dxa"/>
        </w:tblCellMar>
        <w:tblLook w:val="04a0" w:noHBand="0" w:noVBand="1" w:firstColumn="1" w:lastRow="0" w:lastColumn="0" w:firstRow="1"/>
      </w:tblPr>
      <w:tblGrid>
        <w:gridCol w:w="10263"/>
      </w:tblGrid>
      <w:tr>
        <w:trPr>
          <w:cantSplit w:val="true"/>
        </w:trPr>
        <w:tc>
          <w:tcPr>
            <w:tcW w:w="10263" w:type="dxa"/>
            <w:tcBorders/>
            <w:shd w:fill="233B53"/>
          </w:tcPr>
          <w:p>
            <w:pPr>
              <w:pStyle w:val="Normal"/>
              <w:spacing w:before="0" w:after="60"/>
              <w:rPr/>
            </w:pPr>
            <w:r>
              <w:rPr>
                <w:b/>
                <w:i w:val="false"/>
                <w:color w:val="FFFFFF"/>
                <w:sz w:val="18"/>
              </w:rPr>
              <w:t>1  Welche Aussage oder Position wird in den Beispielen überhaupt noch inhaltlich bearbeitet?</w:t>
            </w:r>
          </w:p>
          <w:p>
            <w:pPr>
              <w:pStyle w:val="Normal"/>
              <w:spacing w:before="0" w:after="60"/>
              <w:rPr/>
            </w:pPr>
            <w:r>
              <w:rPr>
                <w:b/>
                <w:i w:val="false"/>
                <w:color w:val="FFFFFF"/>
                <w:sz w:val="18"/>
              </w:rPr>
              <w:t>2  Mit welchen Zuschreibungen wird den Personen Kompetenz, Vernunft oder Legitimität abgesprochen?</w:t>
            </w:r>
          </w:p>
          <w:p>
            <w:pPr>
              <w:pStyle w:val="Normal"/>
              <w:spacing w:before="0" w:after="0"/>
              <w:rPr/>
            </w:pPr>
            <w:r>
              <w:rPr>
                <w:b/>
                <w:i w:val="false"/>
                <w:color w:val="FFFFFF"/>
                <w:sz w:val="18"/>
              </w:rPr>
              <w:t>3  Woran lässt sich erkennen, wann aus Spott eine weitergehende Entwertung oder Eskalation wird?</w:t>
            </w:r>
          </w:p>
        </w:tc>
      </w:tr>
      <w:tr>
        <w:trPr>
          <w:cantSplit w:val="true"/>
        </w:trPr>
        <w:tc>
          <w:tcPr>
            <w:tcW w:w="10263" w:type="dxa"/>
            <w:tcBorders>
              <w:left w:val="single" w:sz="14" w:space="0" w:color="2F6F73"/>
            </w:tcBorders>
            <w:shd w:fill="EEF5F3"/>
            <w:tcMar>
              <w:top w:w="80" w:type="dxa"/>
              <w:left w:w="140" w:type="dxa"/>
              <w:bottom w:w="80" w:type="dxa"/>
              <w:right w:w="140" w:type="dxa"/>
            </w:tcMar>
          </w:tcPr>
          <w:p>
            <w:pPr>
              <w:pStyle w:val="Normal"/>
              <w:spacing w:before="0" w:after="0"/>
              <w:rPr/>
            </w:pPr>
            <w:r>
              <w:rPr>
                <w:b/>
                <w:i w:val="false"/>
                <w:color w:val="2F6F73"/>
                <w:sz w:val="15"/>
              </w:rPr>
              <w:t xml:space="preserve">LESESCHLÜSSEL  </w:t>
            </w:r>
            <w:r>
              <w:rPr>
                <w:b w:val="false"/>
                <w:i w:val="false"/>
                <w:color w:val="1F252A"/>
                <w:sz w:val="15"/>
              </w:rPr>
              <w:t>Achte auf die Verschiebung: Aussage → Person → angebliche geistige oder psychische Unfähigkeit. Je stärker die Person selbst zum „Beweis“ gegen ihre Position gemacht wird, desto weniger findet noch Argumentation statt.</w:t>
            </w:r>
          </w:p>
        </w:tc>
      </w:tr>
    </w:tbl>
    <w:p>
      <w:pPr>
        <w:pStyle w:val="Normal"/>
        <w:keepLines/>
        <w:pBdr>
          <w:top w:val="single" w:sz="6" w:space="0" w:color="D5DEE4"/>
        </w:pBdr>
        <w:spacing w:before="80" w:after="0"/>
        <w:rPr/>
      </w:pPr>
      <w:r>
        <w:rPr>
          <w:b/>
          <w:i w:val="false"/>
          <w:color w:val="233B53"/>
          <w:sz w:val="14"/>
        </w:rPr>
        <w:t xml:space="preserve">QUELLENHINWEIS  </w:t>
      </w:r>
      <w:r>
        <w:rPr>
          <w:b w:val="false"/>
          <w:i w:val="false"/>
          <w:color w:val="5D6870"/>
          <w:sz w:val="14"/>
        </w:rPr>
        <w:t>Anonymisierte Originalzitate aus dem dokumentierten Korpus. Die Intensitätsangaben folgen der im Arbeitsdatensatz verwendeten Eskalationsskala (1–5). Die Beispiele illustrieren Kommunikationsmuster und sind keine Aussagen über politische Gruppen insgesamt.</w:t>
      </w:r>
    </w:p>
    <w:sectPr>
      <w:headerReference w:type="default" r:id="rId2"/>
      <w:footerReference w:type="default" r:id="rId3"/>
      <w:type w:val="nextPage"/>
      <w:pgSz w:w="11906" w:h="16838"/>
      <w:pgMar w:left="822" w:right="822" w:gutter="0" w:header="709" w:top="1410" w:footer="652" w:bottom="111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Liberation Sans">
    <w:altName w:val="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b/>
        <w:bCs/>
        <w:sz w:val="16"/>
        <w:szCs w:val="16"/>
      </w:rPr>
    </w:pPr>
    <w:r>
      <w:rPr>
        <w:b/>
        <w:bCs/>
        <w:sz w:val="16"/>
        <w:szCs w:val="16"/>
      </w:rPr>
      <w:t>OER Material nach Lizenz: CC-NC-BY-SA - Merten Giesen 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20"/>
      <w:rPr>
        <w:b/>
        <w:bCs/>
        <w:sz w:val="24"/>
        <w:szCs w:val="24"/>
      </w:rPr>
    </w:pPr>
    <w:r>
      <w:rPr>
        <w:b/>
        <w:bCs/>
        <w:sz w:val="24"/>
        <w:szCs w:val="24"/>
      </w:rPr>
      <w:t xml:space="preserve">KOMMENTARSPALTEN RICHTIG LESEN </w:t>
    </w:r>
    <w:r>
      <w:rPr>
        <w:b/>
        <w:bCs/>
        <w:sz w:val="24"/>
        <w:szCs w:val="24"/>
      </w:rPr>
      <w:t>3</w:t>
    </w:r>
    <w:r>
      <w:rPr>
        <w:b/>
        <w:bCs/>
        <w:sz w:val="24"/>
        <w:szCs w:val="24"/>
      </w:rPr>
      <w:t>/5</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70"/>
      <w:jc w:val="left"/>
    </w:pPr>
    <w:rPr>
      <w:rFonts w:ascii="Liberation Sans" w:hAnsi="Liberation Sans" w:eastAsia="ＭＳ 明朝" w:cs=""/>
      <w:color w:val="1F252A"/>
      <w:kern w:val="0"/>
      <w:sz w:val="18"/>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7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FreeSans"/>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7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70"/>
      <w:ind w:hanging="360" w:left="720"/>
      <w:contextualSpacing/>
    </w:pPr>
    <w:rPr/>
  </w:style>
  <w:style w:type="paragraph" w:styleId="List3">
    <w:name w:val="List 3"/>
    <w:basedOn w:val="Normal"/>
    <w:uiPriority w:val="99"/>
    <w:unhideWhenUsed/>
    <w:qFormat/>
    <w:rsid w:val="00326f90"/>
    <w:pPr>
      <w:spacing w:before="0" w:after="70"/>
      <w:ind w:hanging="360" w:left="1080"/>
      <w:contextualSpacing/>
    </w:pPr>
    <w:rPr/>
  </w:style>
  <w:style w:type="paragraph" w:styleId="ListBullet">
    <w:name w:val="List Bullet"/>
    <w:basedOn w:val="Normal"/>
    <w:uiPriority w:val="99"/>
    <w:unhideWhenUsed/>
    <w:rsid w:val="00326f90"/>
    <w:pPr>
      <w:numPr>
        <w:ilvl w:val="0"/>
        <w:numId w:val="1"/>
      </w:numPr>
      <w:spacing w:before="0" w:after="70"/>
      <w:contextualSpacing/>
    </w:pPr>
    <w:rPr/>
  </w:style>
  <w:style w:type="paragraph" w:styleId="ListBullet2">
    <w:name w:val="List Bullet 2"/>
    <w:basedOn w:val="Normal"/>
    <w:uiPriority w:val="99"/>
    <w:unhideWhenUsed/>
    <w:rsid w:val="00326f90"/>
    <w:pPr>
      <w:numPr>
        <w:ilvl w:val="0"/>
        <w:numId w:val="2"/>
      </w:numPr>
      <w:spacing w:before="0" w:after="70"/>
      <w:contextualSpacing/>
    </w:pPr>
    <w:rPr/>
  </w:style>
  <w:style w:type="paragraph" w:styleId="ListBullet3">
    <w:name w:val="List Bullet 3"/>
    <w:basedOn w:val="Normal"/>
    <w:uiPriority w:val="99"/>
    <w:unhideWhenUsed/>
    <w:rsid w:val="00326f90"/>
    <w:pPr>
      <w:numPr>
        <w:ilvl w:val="0"/>
        <w:numId w:val="3"/>
      </w:numPr>
      <w:spacing w:before="0" w:after="70"/>
      <w:contextualSpacing/>
    </w:pPr>
    <w:rPr/>
  </w:style>
  <w:style w:type="paragraph" w:styleId="ListNumber">
    <w:name w:val="List Number"/>
    <w:basedOn w:val="Normal"/>
    <w:uiPriority w:val="99"/>
    <w:unhideWhenUsed/>
    <w:rsid w:val="00326f90"/>
    <w:pPr>
      <w:numPr>
        <w:ilvl w:val="0"/>
        <w:numId w:val="4"/>
      </w:numPr>
      <w:spacing w:before="0" w:after="70"/>
      <w:contextualSpacing/>
    </w:pPr>
    <w:rPr/>
  </w:style>
  <w:style w:type="paragraph" w:styleId="ListNumber2">
    <w:name w:val="List Number 2"/>
    <w:basedOn w:val="Normal"/>
    <w:uiPriority w:val="99"/>
    <w:unhideWhenUsed/>
    <w:rsid w:val="0029639d"/>
    <w:pPr>
      <w:numPr>
        <w:ilvl w:val="0"/>
        <w:numId w:val="5"/>
      </w:numPr>
      <w:spacing w:before="0" w:after="70"/>
      <w:contextualSpacing/>
    </w:pPr>
    <w:rPr/>
  </w:style>
  <w:style w:type="paragraph" w:styleId="ListNumber3">
    <w:name w:val="List Number 3"/>
    <w:basedOn w:val="Normal"/>
    <w:uiPriority w:val="99"/>
    <w:unhideWhenUsed/>
    <w:rsid w:val="0029639d"/>
    <w:pPr>
      <w:numPr>
        <w:ilvl w:val="0"/>
        <w:numId w:val="6"/>
      </w:numPr>
      <w:spacing w:before="0" w:after="7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2</Pages>
  <Words>643</Words>
  <Characters>4375</Characters>
  <CharactersWithSpaces>4959</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Merten Giesen</dc:creator>
  <dc:description>generated by python-docx</dc:description>
  <dc:language>de-DE</dc:language>
  <cp:lastModifiedBy/>
  <dcterms:modified xsi:type="dcterms:W3CDTF">2026-08-28T12:49:47Z</dcterms:modified>
  <cp:revision>2</cp:revision>
  <dc:subject>Persönliche und epistemische Disqualifizierung</dc:subject>
  <dc:title>Kommentarspalten lesen lernen – One-Pager 3 (zweiseitig)</dc:title>
</cp:coreProperties>
</file>

<file path=docProps/custom.xml><?xml version="1.0" encoding="utf-8"?>
<Properties xmlns="http://schemas.openxmlformats.org/officeDocument/2006/custom-properties" xmlns:vt="http://schemas.openxmlformats.org/officeDocument/2006/docPropsVTypes"/>
</file>