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Lines/>
        <w:spacing w:before="200" w:after="40"/>
        <w:rPr>
          <w:lang w:val="de-DE"/>
        </w:rPr>
      </w:pPr>
      <w:r>
        <w:rPr/>
      </w:r>
    </w:p>
    <w:p>
      <w:pPr>
        <w:pStyle w:val="Normal"/>
        <w:spacing w:before="200" w:after="40"/>
        <w:rPr>
          <w:lang w:val="de-DE"/>
        </w:rPr>
      </w:pPr>
      <w:r>
        <w:rPr>
          <w:b/>
          <w:i w:val="false"/>
          <w:color w:val="233B53"/>
          <w:sz w:val="44"/>
          <w:lang w:val="de-DE"/>
        </w:rPr>
        <w:t>Aus Verschiedenheit wird eine Rangordnung</w:t>
      </w:r>
    </w:p>
    <w:p>
      <w:pPr>
        <w:pStyle w:val="Normal"/>
        <w:keepLines/>
        <w:spacing w:before="0" w:after="160"/>
        <w:rPr>
          <w:lang w:val="de-DE"/>
        </w:rPr>
      </w:pPr>
      <w:r>
        <w:rPr>
          <w:b/>
          <w:i w:val="false"/>
          <w:color w:val="2F6F73"/>
          <w:sz w:val="23"/>
          <w:lang w:val="de-DE"/>
        </w:rPr>
        <w:t>Arbeit, Leistung und gesellschaftlicher „Wert“</w:t>
      </w:r>
    </w:p>
    <w:tbl>
      <w:tblPr>
        <w:tblW w:w="10263" w:type="dxa"/>
        <w:jc w:val="center"/>
        <w:tblInd w:w="0" w:type="dxa"/>
        <w:tblLayout w:type="fixed"/>
        <w:tblCellMar>
          <w:top w:w="165" w:type="dxa"/>
          <w:left w:w="190" w:type="dxa"/>
          <w:bottom w:w="165" w:type="dxa"/>
          <w:right w:w="190" w:type="dxa"/>
        </w:tblCellMar>
        <w:tblLook w:val="04a0" w:noHBand="0" w:noVBand="1" w:firstColumn="1" w:lastRow="0" w:lastColumn="0" w:firstRow="1"/>
      </w:tblPr>
      <w:tblGrid>
        <w:gridCol w:w="10263"/>
      </w:tblGrid>
      <w:tr>
        <w:trPr>
          <w:cantSplit w:val="true"/>
        </w:trPr>
        <w:tc>
          <w:tcPr>
            <w:tcW w:w="10263" w:type="dxa"/>
            <w:tcBorders>
              <w:left w:val="single" w:sz="18" w:space="0" w:color="2F6F73"/>
            </w:tcBorders>
            <w:shd w:fill="EAF1F6"/>
          </w:tcPr>
          <w:p>
            <w:pPr>
              <w:pStyle w:val="Normal"/>
              <w:spacing w:before="0" w:after="40"/>
              <w:rPr>
                <w:lang w:val="de-DE"/>
              </w:rPr>
            </w:pPr>
            <w:r>
              <w:rPr>
                <w:b/>
                <w:i w:val="false"/>
                <w:color w:val="2F6F73"/>
                <w:sz w:val="17"/>
                <w:lang w:val="de-DE"/>
              </w:rPr>
              <w:t>KERNTHESE</w:t>
            </w:r>
          </w:p>
          <w:p>
            <w:pPr>
              <w:pStyle w:val="Normal"/>
              <w:spacing w:before="0" w:after="0"/>
              <w:rPr>
                <w:lang w:val="de-DE"/>
              </w:rPr>
            </w:pPr>
            <w:r>
              <w:rPr>
                <w:b/>
                <w:i w:val="false"/>
                <w:color w:val="1F252A"/>
                <w:sz w:val="21"/>
                <w:lang w:val="de-DE"/>
              </w:rPr>
              <w:t>Abwertung kann Menschen nicht nur als „anders“, sondern als weniger nützlich oder weniger wertvoll darstellen. Besonders häufig geschieht das über Zuschreibungen zu Arbeit, Leistung und Transferbezug.</w:t>
            </w:r>
          </w:p>
        </w:tc>
      </w:tr>
    </w:tbl>
    <w:p>
      <w:pPr>
        <w:pStyle w:val="Normal"/>
        <w:keepLines/>
        <w:spacing w:before="180" w:after="60"/>
        <w:rPr>
          <w:lang w:val="de-DE"/>
        </w:rPr>
      </w:pPr>
      <w:r>
        <w:rPr/>
      </w:r>
    </w:p>
    <w:p>
      <w:pPr>
        <w:pStyle w:val="Normal"/>
        <w:spacing w:before="180" w:after="60"/>
        <w:rPr>
          <w:lang w:val="de-DE"/>
        </w:rPr>
      </w:pPr>
      <w:r>
        <w:rPr>
          <w:b/>
          <w:i w:val="false"/>
          <w:color w:val="233B53"/>
          <w:sz w:val="17"/>
          <w:lang w:val="de-DE"/>
        </w:rPr>
        <w:t>WAS WIR IM MATERIAL SEHEN</w:t>
      </w:r>
    </w:p>
    <w:tbl>
      <w:tblPr>
        <w:tblW w:w="10263" w:type="dxa"/>
        <w:jc w:val="center"/>
        <w:tblInd w:w="0" w:type="dxa"/>
        <w:tblLayout w:type="fixed"/>
        <w:tblCellMar>
          <w:top w:w="130" w:type="dxa"/>
          <w:left w:w="130" w:type="dxa"/>
          <w:bottom w:w="120" w:type="dxa"/>
          <w:right w:w="130" w:type="dxa"/>
        </w:tblCellMar>
        <w:tblLook w:val="04a0" w:noHBand="0" w:noVBand="1" w:firstColumn="1" w:lastRow="0" w:lastColumn="0" w:firstRow="1"/>
      </w:tblPr>
      <w:tblGrid>
        <w:gridCol w:w="3421"/>
        <w:gridCol w:w="3421"/>
        <w:gridCol w:w="3421"/>
      </w:tblGrid>
      <w:tr>
        <w:trPr>
          <w:cantSplit w:val="true"/>
        </w:trPr>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lang w:val="de-DE"/>
              </w:rPr>
            </w:pPr>
            <w:r>
              <w:rPr>
                <w:b/>
                <w:i w:val="false"/>
                <w:color w:val="233B53"/>
                <w:sz w:val="40"/>
                <w:lang w:val="de-DE"/>
              </w:rPr>
              <w:t>44</w:t>
            </w:r>
          </w:p>
          <w:p>
            <w:pPr>
              <w:pStyle w:val="Normal"/>
              <w:spacing w:before="0" w:after="20"/>
              <w:jc w:val="center"/>
              <w:rPr>
                <w:lang w:val="de-DE"/>
              </w:rPr>
            </w:pPr>
            <w:r>
              <w:rPr>
                <w:b/>
                <w:i w:val="false"/>
                <w:color w:val="2F6F73"/>
                <w:sz w:val="16"/>
                <w:lang w:val="de-DE"/>
              </w:rPr>
              <w:t>Kommentare</w:t>
            </w:r>
          </w:p>
          <w:p>
            <w:pPr>
              <w:pStyle w:val="Normal"/>
              <w:spacing w:before="0" w:after="20"/>
              <w:jc w:val="center"/>
              <w:rPr>
                <w:lang w:val="de-DE"/>
              </w:rPr>
            </w:pPr>
            <w:r>
              <w:rPr>
                <w:b/>
                <w:i w:val="false"/>
                <w:color w:val="1F252A"/>
                <w:sz w:val="16"/>
                <w:lang w:val="de-DE"/>
              </w:rPr>
              <w:t>mit dem Motiv Arbeit / Transfer</w:t>
            </w:r>
          </w:p>
          <w:p>
            <w:pPr>
              <w:pStyle w:val="Normal"/>
              <w:spacing w:before="0" w:after="0"/>
              <w:jc w:val="center"/>
              <w:rPr>
                <w:lang w:val="de-DE"/>
              </w:rPr>
            </w:pPr>
            <w:r>
              <w:rPr>
                <w:b w:val="false"/>
                <w:i w:val="false"/>
                <w:color w:val="5D6870"/>
                <w:sz w:val="15"/>
                <w:lang w:val="de-DE"/>
              </w:rPr>
              <w:t>13,9 % der 317 Fälle</w:t>
            </w:r>
          </w:p>
        </w:tc>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lang w:val="de-DE"/>
              </w:rPr>
            </w:pPr>
            <w:r>
              <w:rPr>
                <w:b/>
                <w:i w:val="false"/>
                <w:color w:val="233B53"/>
                <w:sz w:val="40"/>
                <w:lang w:val="de-DE"/>
              </w:rPr>
              <w:t>13</w:t>
            </w:r>
          </w:p>
          <w:p>
            <w:pPr>
              <w:pStyle w:val="Normal"/>
              <w:spacing w:before="0" w:after="20"/>
              <w:jc w:val="center"/>
              <w:rPr>
                <w:lang w:val="de-DE"/>
              </w:rPr>
            </w:pPr>
            <w:r>
              <w:rPr>
                <w:b/>
                <w:i w:val="false"/>
                <w:color w:val="2F6F73"/>
                <w:sz w:val="16"/>
                <w:lang w:val="de-DE"/>
              </w:rPr>
              <w:t>Kombinationen</w:t>
            </w:r>
          </w:p>
          <w:p>
            <w:pPr>
              <w:pStyle w:val="Normal"/>
              <w:spacing w:before="0" w:after="20"/>
              <w:jc w:val="center"/>
              <w:rPr>
                <w:lang w:val="de-DE"/>
              </w:rPr>
            </w:pPr>
            <w:r>
              <w:rPr>
                <w:b/>
                <w:i w:val="false"/>
                <w:color w:val="1F252A"/>
                <w:sz w:val="16"/>
                <w:lang w:val="de-DE"/>
              </w:rPr>
              <w:t>Arbeit / Transfer + Entmenschlichung</w:t>
            </w:r>
          </w:p>
          <w:p>
            <w:pPr>
              <w:pStyle w:val="Normal"/>
              <w:spacing w:before="0" w:after="0"/>
              <w:jc w:val="center"/>
              <w:rPr>
                <w:lang w:val="de-DE"/>
              </w:rPr>
            </w:pPr>
            <w:r>
              <w:rPr>
                <w:b w:val="false"/>
                <w:i w:val="false"/>
                <w:color w:val="5D6870"/>
                <w:sz w:val="15"/>
                <w:lang w:val="de-DE"/>
              </w:rPr>
              <w:t>4,1 % der Fälle</w:t>
            </w:r>
          </w:p>
        </w:tc>
        <w:tc>
          <w:tcPr>
            <w:tcW w:w="3421" w:type="dxa"/>
            <w:tcBorders>
              <w:top w:val="single" w:sz="6" w:space="0" w:color="D5DEE4"/>
              <w:left w:val="single" w:sz="6" w:space="0" w:color="D5DEE4"/>
              <w:bottom w:val="single" w:sz="6" w:space="0" w:color="D5DEE4"/>
              <w:right w:val="single" w:sz="6" w:space="0" w:color="D5DEE4"/>
            </w:tcBorders>
            <w:shd w:fill="F4F7F9"/>
          </w:tcPr>
          <w:p>
            <w:pPr>
              <w:pStyle w:val="Normal"/>
              <w:spacing w:before="0" w:after="0"/>
              <w:jc w:val="center"/>
              <w:rPr>
                <w:lang w:val="de-DE"/>
              </w:rPr>
            </w:pPr>
            <w:r>
              <w:rPr>
                <w:b/>
                <w:i w:val="false"/>
                <w:color w:val="233B53"/>
                <w:sz w:val="40"/>
                <w:lang w:val="de-DE"/>
              </w:rPr>
              <w:t>11</w:t>
            </w:r>
          </w:p>
          <w:p>
            <w:pPr>
              <w:pStyle w:val="Normal"/>
              <w:spacing w:before="0" w:after="20"/>
              <w:jc w:val="center"/>
              <w:rPr>
                <w:lang w:val="de-DE"/>
              </w:rPr>
            </w:pPr>
            <w:r>
              <w:rPr>
                <w:b/>
                <w:i w:val="false"/>
                <w:color w:val="2F6F73"/>
                <w:sz w:val="16"/>
                <w:lang w:val="de-DE"/>
              </w:rPr>
              <w:t>Kombinationen</w:t>
            </w:r>
          </w:p>
          <w:p>
            <w:pPr>
              <w:pStyle w:val="Normal"/>
              <w:spacing w:before="0" w:after="20"/>
              <w:jc w:val="center"/>
              <w:rPr>
                <w:lang w:val="de-DE"/>
              </w:rPr>
            </w:pPr>
            <w:r>
              <w:rPr>
                <w:b/>
                <w:i w:val="false"/>
                <w:color w:val="1F252A"/>
                <w:sz w:val="16"/>
                <w:lang w:val="de-DE"/>
              </w:rPr>
              <w:t>Leistungsabwertung + Transferressentiment</w:t>
            </w:r>
          </w:p>
          <w:p>
            <w:pPr>
              <w:pStyle w:val="Normal"/>
              <w:spacing w:before="0" w:after="0"/>
              <w:jc w:val="center"/>
              <w:rPr>
                <w:lang w:val="de-DE"/>
              </w:rPr>
            </w:pPr>
            <w:r>
              <w:rPr>
                <w:b w:val="false"/>
                <w:i w:val="false"/>
                <w:color w:val="5D6870"/>
                <w:sz w:val="15"/>
                <w:lang w:val="de-DE"/>
              </w:rPr>
              <w:t>3,5 % der Fälle</w:t>
            </w:r>
          </w:p>
        </w:tc>
      </w:tr>
    </w:tbl>
    <w:p>
      <w:pPr>
        <w:pStyle w:val="Normal"/>
        <w:keepLines/>
        <w:spacing w:before="160" w:after="60"/>
        <w:rPr>
          <w:lang w:val="de-DE"/>
        </w:rPr>
      </w:pPr>
      <w:r>
        <w:rPr/>
      </w:r>
    </w:p>
    <w:p>
      <w:pPr>
        <w:pStyle w:val="Normal"/>
        <w:spacing w:before="160" w:after="60"/>
        <w:rPr>
          <w:lang w:val="de-DE"/>
        </w:rPr>
      </w:pPr>
      <w:r>
        <w:rPr>
          <w:b/>
          <w:i w:val="false"/>
          <w:color w:val="233B53"/>
          <w:sz w:val="17"/>
          <w:lang w:val="de-DE"/>
        </w:rPr>
        <w:t>WAS SPRACHLICH PASSIERT</w:t>
      </w:r>
    </w:p>
    <w:tbl>
      <w:tblPr>
        <w:tblW w:w="10263" w:type="dxa"/>
        <w:jc w:val="center"/>
        <w:tblInd w:w="0" w:type="dxa"/>
        <w:tblLayout w:type="fixed"/>
        <w:tblCellMar>
          <w:top w:w="50" w:type="dxa"/>
          <w:left w:w="0" w:type="dxa"/>
          <w:bottom w:w="40" w:type="dxa"/>
          <w:right w:w="170" w:type="dxa"/>
        </w:tblCellMar>
        <w:tblLook w:val="04a0" w:noHBand="0" w:noVBand="1" w:firstColumn="1" w:lastRow="0" w:lastColumn="0" w:firstRow="1"/>
      </w:tblPr>
      <w:tblGrid>
        <w:gridCol w:w="5131"/>
        <w:gridCol w:w="5131"/>
      </w:tblGrid>
      <w:tr>
        <w:trPr>
          <w:cantSplit w:val="true"/>
        </w:trPr>
        <w:tc>
          <w:tcPr>
            <w:tcW w:w="5131" w:type="dxa"/>
            <w:tcBorders/>
          </w:tcPr>
          <w:p>
            <w:pPr>
              <w:pStyle w:val="Normal"/>
              <w:rPr>
                <w:lang w:val="de-DE"/>
              </w:rPr>
            </w:pPr>
            <w:r>
              <w:rPr>
                <w:b/>
                <w:i w:val="false"/>
                <w:color w:val="233B53"/>
                <w:sz w:val="20"/>
                <w:lang w:val="de-DE"/>
              </w:rPr>
              <w:t>1  Von der Erscheinung zur erfundenen Biografie</w:t>
            </w:r>
          </w:p>
          <w:p>
            <w:pPr>
              <w:pStyle w:val="Normal"/>
              <w:spacing w:before="0" w:after="100"/>
              <w:rPr>
                <w:lang w:val="de-DE"/>
              </w:rPr>
            </w:pPr>
            <w:r>
              <w:rPr>
                <w:lang w:val="de-DE"/>
              </w:rPr>
              <w:t>Aus wenigen sichtbaren Merkmalen wird auf Arbeit, Einkommen oder Transferbezug geschlossen. Die tatsächliche Lebenssituation der Personen ist unbekannt – die Zuschreibung funktioniert trotzdem als scheinbare Erklärung.</w:t>
            </w:r>
          </w:p>
          <w:p>
            <w:pPr>
              <w:pStyle w:val="Normal"/>
              <w:spacing w:before="0" w:after="70"/>
              <w:rPr>
                <w:lang w:val="de-DE"/>
              </w:rPr>
            </w:pPr>
            <w:r>
              <w:rPr>
                <w:b/>
                <w:i w:val="false"/>
                <w:color w:val="2F6F73"/>
                <w:sz w:val="18"/>
                <w:lang w:val="de-DE"/>
              </w:rPr>
              <w:t xml:space="preserve">Folge: </w:t>
            </w:r>
            <w:r>
              <w:rPr>
                <w:b w:val="false"/>
                <w:i w:val="false"/>
                <w:color w:val="1F252A"/>
                <w:sz w:val="18"/>
                <w:lang w:val="de-DE"/>
              </w:rPr>
              <w:t>Eine vermutete soziale Lage wird behandelt, als sei sie eine beobachtete Tatsache.</w:t>
            </w:r>
          </w:p>
        </w:tc>
        <w:tc>
          <w:tcPr>
            <w:tcW w:w="5131" w:type="dxa"/>
            <w:tcBorders/>
            <w:tcMar>
              <w:right w:w="0" w:type="dxa"/>
            </w:tcMar>
          </w:tcPr>
          <w:p>
            <w:pPr>
              <w:pStyle w:val="Normal"/>
              <w:rPr>
                <w:lang w:val="de-DE"/>
              </w:rPr>
            </w:pPr>
            <w:r>
              <w:rPr>
                <w:b/>
                <w:i w:val="false"/>
                <w:color w:val="233B53"/>
                <w:sz w:val="20"/>
                <w:lang w:val="de-DE"/>
              </w:rPr>
              <w:t>2  Von Leistung zu gesellschaftlichem Wert</w:t>
            </w:r>
          </w:p>
          <w:p>
            <w:pPr>
              <w:pStyle w:val="Normal"/>
              <w:spacing w:before="0" w:after="100"/>
              <w:rPr>
                <w:lang w:val="de-DE"/>
              </w:rPr>
            </w:pPr>
            <w:r>
              <w:rPr>
                <w:lang w:val="de-DE"/>
              </w:rPr>
              <w:t>Im nächsten Schritt wird die unterstellte Produktivität moralisch bewertet. Begriffe wie „Nichtsnutz“ oder „Schmarotzer“ machen aus einer Behauptung über Arbeit eine Aussage darüber, welchen Platz oder Respekt jemand in der Gesellschaft verdienen soll.</w:t>
            </w:r>
          </w:p>
          <w:p>
            <w:pPr>
              <w:pStyle w:val="Normal"/>
              <w:spacing w:before="0" w:after="70"/>
              <w:rPr>
                <w:lang w:val="de-DE"/>
              </w:rPr>
            </w:pPr>
            <w:r>
              <w:rPr>
                <w:b/>
                <w:i w:val="false"/>
                <w:color w:val="2F6F73"/>
                <w:sz w:val="18"/>
                <w:lang w:val="de-DE"/>
              </w:rPr>
              <w:t xml:space="preserve">Prüffrage: </w:t>
            </w:r>
            <w:r>
              <w:rPr>
                <w:b w:val="false"/>
                <w:i w:val="false"/>
                <w:color w:val="1F252A"/>
                <w:sz w:val="18"/>
                <w:lang w:val="de-DE"/>
              </w:rPr>
              <w:t>Wird Verhalten beschrieben – oder wird wirtschaftliche „Nützlichkeit“ zum Maßstab für den Wert eines Menschen?</w:t>
            </w:r>
          </w:p>
        </w:tc>
      </w:tr>
    </w:tbl>
    <w:p>
      <w:pPr>
        <w:pStyle w:val="Normal"/>
        <w:keepLines/>
        <w:spacing w:before="160" w:after="60"/>
        <w:rPr>
          <w:lang w:val="de-DE"/>
        </w:rPr>
      </w:pPr>
      <w:r>
        <w:rPr>
          <w:b/>
          <w:i w:val="false"/>
          <w:color w:val="233B53"/>
          <w:sz w:val="17"/>
          <w:lang w:val="de-DE"/>
        </w:rPr>
        <w:t>ORIENTIERUNG FÜR KOMMENTARSPALTEN</w:t>
      </w:r>
    </w:p>
    <w:tbl>
      <w:tblPr>
        <w:tblW w:w="10263" w:type="dxa"/>
        <w:jc w:val="center"/>
        <w:tblInd w:w="0" w:type="dxa"/>
        <w:tblLayout w:type="fixed"/>
        <w:tblCellMar>
          <w:top w:w="155" w:type="dxa"/>
          <w:left w:w="190" w:type="dxa"/>
          <w:bottom w:w="145" w:type="dxa"/>
          <w:right w:w="190" w:type="dxa"/>
        </w:tblCellMar>
        <w:tblLook w:val="04a0" w:noHBand="0" w:noVBand="1" w:firstColumn="1" w:lastRow="0" w:lastColumn="0" w:firstRow="1"/>
      </w:tblPr>
      <w:tblGrid>
        <w:gridCol w:w="10263"/>
      </w:tblGrid>
      <w:tr>
        <w:trPr>
          <w:cantSplit w:val="true"/>
        </w:trPr>
        <w:tc>
          <w:tcPr>
            <w:tcW w:w="10263" w:type="dxa"/>
            <w:tcBorders/>
            <w:shd w:fill="233B53"/>
          </w:tcPr>
          <w:p>
            <w:pPr>
              <w:pStyle w:val="Normal"/>
              <w:spacing w:before="0" w:after="60"/>
              <w:jc w:val="center"/>
              <w:rPr>
                <w:lang w:val="de-DE"/>
              </w:rPr>
            </w:pPr>
            <w:r>
              <w:rPr>
                <w:b/>
                <w:i w:val="false"/>
                <w:color w:val="FFFFFF"/>
                <w:sz w:val="22"/>
                <w:lang w:val="de-DE"/>
              </w:rPr>
              <w:t>Wird hier über tatsächliches Verhalten gesprochen –</w:t>
            </w:r>
          </w:p>
          <w:p>
            <w:pPr>
              <w:pStyle w:val="Normal"/>
              <w:spacing w:before="0" w:after="100"/>
              <w:jc w:val="center"/>
              <w:rPr>
                <w:lang w:val="de-DE"/>
              </w:rPr>
            </w:pPr>
            <w:r>
              <w:rPr>
                <w:b/>
                <w:i w:val="false"/>
                <w:color w:val="FFFFFF"/>
                <w:sz w:val="22"/>
                <w:lang w:val="de-DE"/>
              </w:rPr>
              <w:t>oder wird wirtschaftliche „Nützlichkeit“ gerade zum Maßstab dafür gemacht, wie viel Respekt ein Mensch verdient?</w:t>
            </w:r>
          </w:p>
          <w:p>
            <w:pPr>
              <w:pStyle w:val="Normal"/>
              <w:spacing w:before="0" w:after="0"/>
              <w:jc w:val="center"/>
              <w:rPr>
                <w:lang w:val="de-DE"/>
              </w:rPr>
            </w:pPr>
            <w:r>
              <w:rPr>
                <w:b w:val="false"/>
                <w:i w:val="false"/>
                <w:color w:val="DDE7EE"/>
                <w:sz w:val="17"/>
                <w:lang w:val="de-DE"/>
              </w:rPr>
              <w:t>Menschenwürde ist keine Leistungsprämie.</w:t>
            </w:r>
          </w:p>
        </w:tc>
      </w:tr>
    </w:tbl>
    <w:p>
      <w:pPr>
        <w:pStyle w:val="Normal"/>
        <w:keepLines/>
        <w:spacing w:before="160" w:after="60"/>
        <w:rPr>
          <w:lang w:val="de-DE"/>
        </w:rPr>
      </w:pPr>
      <w:r>
        <w:rPr/>
      </w:r>
    </w:p>
    <w:p>
      <w:pPr>
        <w:pStyle w:val="Normal"/>
        <w:spacing w:before="160" w:after="60"/>
        <w:rPr>
          <w:lang w:val="de-DE"/>
        </w:rPr>
      </w:pPr>
      <w:r>
        <w:rPr>
          <w:b/>
          <w:i w:val="false"/>
          <w:color w:val="233B53"/>
          <w:sz w:val="17"/>
          <w:lang w:val="de-DE"/>
        </w:rPr>
        <w:t>WARUM IST DAS RELEVANT?</w:t>
      </w:r>
    </w:p>
    <w:tbl>
      <w:tblPr>
        <w:tblW w:w="10263" w:type="dxa"/>
        <w:jc w:val="center"/>
        <w:tblInd w:w="0" w:type="dxa"/>
        <w:tblLayout w:type="fixed"/>
        <w:tblCellMar>
          <w:top w:w="110" w:type="dxa"/>
          <w:left w:w="120" w:type="dxa"/>
          <w:bottom w:w="105" w:type="dxa"/>
          <w:right w:w="120" w:type="dxa"/>
        </w:tblCellMar>
        <w:tblLook w:val="04a0" w:noHBand="0" w:noVBand="1" w:firstColumn="1" w:lastRow="0" w:lastColumn="0" w:firstRow="1"/>
      </w:tblPr>
      <w:tblGrid>
        <w:gridCol w:w="3421"/>
        <w:gridCol w:w="3421"/>
        <w:gridCol w:w="3421"/>
      </w:tblGrid>
      <w:tr>
        <w:trPr>
          <w:cantSplit w:val="true"/>
        </w:trPr>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lang w:val="de-DE"/>
              </w:rPr>
            </w:pPr>
            <w:r>
              <w:rPr>
                <w:b/>
                <w:i w:val="false"/>
                <w:color w:val="233B53"/>
                <w:sz w:val="17"/>
                <w:lang w:val="de-DE"/>
              </w:rPr>
              <w:t>1  Biografie per Zuschreibung</w:t>
            </w:r>
          </w:p>
          <w:p>
            <w:pPr>
              <w:pStyle w:val="Normal"/>
              <w:spacing w:before="0" w:after="0"/>
              <w:rPr>
                <w:lang w:val="de-DE"/>
              </w:rPr>
            </w:pPr>
            <w:r>
              <w:rPr>
                <w:b w:val="false"/>
                <w:i w:val="false"/>
                <w:color w:val="1F252A"/>
                <w:sz w:val="15"/>
                <w:lang w:val="de-DE"/>
              </w:rPr>
              <w:t>Aus Erscheinung oder politischem Auftreten werden Arbeit, Einkommen und Lebensführung „abgelesen“.</w:t>
            </w:r>
          </w:p>
        </w:tc>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lang w:val="de-DE"/>
              </w:rPr>
            </w:pPr>
            <w:r>
              <w:rPr>
                <w:b/>
                <w:i w:val="false"/>
                <w:color w:val="233B53"/>
                <w:sz w:val="17"/>
                <w:lang w:val="de-DE"/>
              </w:rPr>
              <w:t>2  Leistung als Moralmaß</w:t>
            </w:r>
          </w:p>
          <w:p>
            <w:pPr>
              <w:pStyle w:val="Normal"/>
              <w:spacing w:before="0" w:after="0"/>
              <w:rPr>
                <w:lang w:val="de-DE"/>
              </w:rPr>
            </w:pPr>
            <w:r>
              <w:rPr>
                <w:b w:val="false"/>
                <w:i w:val="false"/>
                <w:color w:val="1F252A"/>
                <w:sz w:val="15"/>
                <w:lang w:val="de-DE"/>
              </w:rPr>
              <w:t>Ökonomische Produktivität wird mit Anständigkeit, Legitimität oder gesellschaftlichem Wert verknüpft.</w:t>
            </w:r>
          </w:p>
        </w:tc>
        <w:tc>
          <w:tcPr>
            <w:tcW w:w="3421" w:type="dxa"/>
            <w:tcBorders>
              <w:top w:val="single" w:sz="6" w:space="0" w:color="D5DEE4"/>
              <w:left w:val="single" w:sz="6" w:space="0" w:color="D5DEE4"/>
              <w:bottom w:val="single" w:sz="6" w:space="0" w:color="D5DEE4"/>
              <w:right w:val="single" w:sz="6" w:space="0" w:color="D5DEE4"/>
            </w:tcBorders>
            <w:shd w:fill="F7F9FA"/>
          </w:tcPr>
          <w:p>
            <w:pPr>
              <w:pStyle w:val="Normal"/>
              <w:spacing w:before="0" w:after="40"/>
              <w:rPr>
                <w:lang w:val="de-DE"/>
              </w:rPr>
            </w:pPr>
            <w:r>
              <w:rPr>
                <w:b/>
                <w:i w:val="false"/>
                <w:color w:val="233B53"/>
                <w:sz w:val="17"/>
                <w:lang w:val="de-DE"/>
              </w:rPr>
              <w:t>3  Brücke zur Entmenschlichung</w:t>
            </w:r>
          </w:p>
          <w:p>
            <w:pPr>
              <w:pStyle w:val="Normal"/>
              <w:spacing w:before="0" w:after="0"/>
              <w:rPr>
                <w:lang w:val="de-DE"/>
              </w:rPr>
            </w:pPr>
            <w:r>
              <w:rPr>
                <w:b w:val="false"/>
                <w:i w:val="false"/>
                <w:color w:val="1F252A"/>
                <w:sz w:val="15"/>
                <w:lang w:val="de-DE"/>
              </w:rPr>
              <w:t>Wo Menschen als „nutzlos“ oder „Schmarotzer“ markiert werden, kann soziale Abwertung in Entmenschlichung übergehen.</w:t>
            </w:r>
          </w:p>
        </w:tc>
      </w:tr>
      <w:tr>
        <w:trPr>
          <w:cantSplit w:val="true"/>
        </w:trPr>
        <w:tc>
          <w:tcPr>
            <w:tcW w:w="10263" w:type="dxa"/>
            <w:gridSpan w:val="3"/>
            <w:tcBorders>
              <w:left w:val="single" w:sz="14" w:space="0" w:color="2F6F73"/>
            </w:tcBorders>
            <w:shd w:fill="EEF5F3"/>
            <w:tcMar>
              <w:top w:w="95" w:type="dxa"/>
              <w:left w:w="150" w:type="dxa"/>
              <w:bottom w:w="95" w:type="dxa"/>
              <w:right w:w="150" w:type="dxa"/>
            </w:tcMar>
          </w:tcPr>
          <w:p>
            <w:pPr>
              <w:pStyle w:val="Normal"/>
              <w:spacing w:before="0" w:after="0"/>
              <w:rPr>
                <w:lang w:val="de-DE"/>
              </w:rPr>
            </w:pPr>
            <w:r>
              <w:rPr>
                <w:b/>
                <w:i w:val="false"/>
                <w:color w:val="2F6F73"/>
                <w:sz w:val="16"/>
                <w:lang w:val="de-DE"/>
              </w:rPr>
              <w:t xml:space="preserve">LERNZIEL  </w:t>
            </w:r>
            <w:r>
              <w:rPr>
                <w:b w:val="false"/>
                <w:i w:val="false"/>
                <w:color w:val="1F252A"/>
                <w:sz w:val="16"/>
                <w:lang w:val="de-DE"/>
              </w:rPr>
              <w:t>Teilnehmende erkennen, wann Vermutungen über Arbeit oder Transferbezug in moralische Rangordnungen und Aussagen über den Wert von Menschen überführt werden.</w:t>
            </w:r>
          </w:p>
        </w:tc>
      </w:tr>
    </w:tbl>
    <w:p>
      <w:pPr>
        <w:pStyle w:val="Normal"/>
        <w:keepLines/>
        <w:pBdr>
          <w:top w:val="single" w:sz="6" w:space="0" w:color="D5DEE4"/>
        </w:pBdr>
        <w:spacing w:before="140" w:after="0"/>
        <w:rPr>
          <w:lang w:val="de-DE"/>
        </w:rPr>
      </w:pPr>
      <w:r>
        <w:rPr>
          <w:b/>
          <w:i w:val="false"/>
          <w:color w:val="233B53"/>
          <w:sz w:val="14"/>
          <w:lang w:val="de-DE"/>
        </w:rPr>
        <w:t xml:space="preserve">DATENGRUNDLAGE  </w:t>
      </w:r>
      <w:r>
        <w:rPr>
          <w:b w:val="false"/>
          <w:i w:val="false"/>
          <w:color w:val="5D6870"/>
          <w:sz w:val="14"/>
          <w:lang w:val="de-DE"/>
        </w:rPr>
        <w:t>317 feindselig-abwertende Textkommentare aus einer dokumentierten Facebook-Kommentarspalte. Systematische Fallanalyse, keine repräsentative Untersuchung sozialer Medien. Mehrfachcodierungen einzelner Kommentare waren möglich.</w:t>
      </w:r>
    </w:p>
    <w:p>
      <w:pPr>
        <w:pStyle w:val="Normal"/>
        <w:keepLines/>
        <w:rPr>
          <w:lang w:val="de-DE"/>
        </w:rPr>
      </w:pPr>
      <w:r>
        <w:rPr>
          <w:lang w:val="de-DE"/>
        </w:rPr>
      </w:r>
      <w:r>
        <w:br w:type="page"/>
      </w:r>
    </w:p>
    <w:p>
      <w:pPr>
        <w:pStyle w:val="Normal"/>
        <w:keepLines/>
        <w:spacing w:before="180" w:after="20"/>
        <w:rPr>
          <w:lang w:val="de-DE"/>
        </w:rPr>
      </w:pPr>
      <w:r>
        <w:rPr>
          <w:b/>
          <w:i w:val="false"/>
          <w:color w:val="233B53"/>
          <w:sz w:val="43"/>
          <w:lang w:val="de-DE"/>
        </w:rPr>
        <w:t>Muster erkennen</w:t>
      </w:r>
    </w:p>
    <w:p>
      <w:pPr>
        <w:pStyle w:val="Normal"/>
        <w:keepLines/>
        <w:spacing w:before="0" w:after="120"/>
        <w:rPr>
          <w:lang w:val="de-DE"/>
        </w:rPr>
      </w:pPr>
      <w:r>
        <w:rPr>
          <w:b/>
          <w:i w:val="false"/>
          <w:color w:val="2F6F73"/>
          <w:sz w:val="22"/>
          <w:lang w:val="de-DE"/>
        </w:rPr>
        <w:t>Originalbeispiele: von Leistungszuschreibung zur Wertung</w:t>
      </w:r>
    </w:p>
    <w:tbl>
      <w:tblPr>
        <w:tblW w:w="10263" w:type="dxa"/>
        <w:jc w:val="center"/>
        <w:tblInd w:w="0" w:type="dxa"/>
        <w:tblLayout w:type="fixed"/>
        <w:tblCellMar>
          <w:top w:w="110" w:type="dxa"/>
          <w:left w:w="160" w:type="dxa"/>
          <w:bottom w:w="105" w:type="dxa"/>
          <w:right w:w="160" w:type="dxa"/>
        </w:tblCellMar>
        <w:tblLook w:val="04a0" w:noHBand="0" w:noVBand="1" w:firstColumn="1" w:lastRow="0" w:lastColumn="0" w:firstRow="1"/>
      </w:tblPr>
      <w:tblGrid>
        <w:gridCol w:w="10263"/>
      </w:tblGrid>
      <w:tr>
        <w:trPr>
          <w:cantSplit w:val="true"/>
        </w:trPr>
        <w:tc>
          <w:tcPr>
            <w:tcW w:w="10263" w:type="dxa"/>
            <w:tcBorders>
              <w:left w:val="single" w:sz="16" w:space="0" w:color="2F6F73"/>
            </w:tcBorders>
            <w:shd w:fill="EAF1F6"/>
          </w:tcPr>
          <w:p>
            <w:pPr>
              <w:pStyle w:val="Normal"/>
              <w:spacing w:before="0" w:after="40"/>
              <w:rPr>
                <w:lang w:val="de-DE"/>
              </w:rPr>
            </w:pPr>
            <w:r>
              <w:rPr>
                <w:b/>
                <w:i w:val="false"/>
                <w:color w:val="2F6F73"/>
                <w:sz w:val="16"/>
                <w:lang w:val="de-DE"/>
              </w:rPr>
              <w:t>HINWEIS ZUR ARBEIT MIT DEN BEISPIELEN</w:t>
            </w:r>
          </w:p>
          <w:p>
            <w:pPr>
              <w:pStyle w:val="Normal"/>
              <w:spacing w:before="0" w:after="40"/>
              <w:rPr>
                <w:lang w:val="de-DE"/>
              </w:rPr>
            </w:pPr>
            <w:r>
              <w:rPr>
                <w:b w:val="false"/>
                <w:i w:val="false"/>
                <w:color w:val="1F252A"/>
                <w:sz w:val="17"/>
                <w:lang w:val="de-DE"/>
              </w:rPr>
              <w:t>Die Originalkommentare sind anonymisiert und in der ursprünglichen Schreibweise weitgehend beibehalten. Im einschlägigen Teilkorpus liegen die codierten Beispiele auf den Eskalationsstufen 2–3; ein passender Fall der Stufen 4–5 kommt hier nicht vor.</w:t>
            </w:r>
          </w:p>
          <w:p>
            <w:pPr>
              <w:pStyle w:val="Normal"/>
              <w:spacing w:before="0" w:after="0"/>
              <w:rPr>
                <w:lang w:val="de-DE"/>
              </w:rPr>
            </w:pPr>
            <w:r>
              <w:rPr>
                <w:b/>
                <w:i w:val="false"/>
                <w:color w:val="1F252A"/>
                <w:sz w:val="17"/>
                <w:lang w:val="de-DE"/>
              </w:rPr>
              <w:t>Die letzte Karte zeigt deshalb die höchste im Themenfeld beobachtete Intensität – nicht einen Gewaltfall.</w:t>
            </w:r>
          </w:p>
        </w:tc>
      </w:tr>
    </w:tbl>
    <w:p>
      <w:pPr>
        <w:pStyle w:val="Normal"/>
        <w:keepLines/>
        <w:spacing w:before="100" w:after="60"/>
        <w:rPr>
          <w:lang w:val="de-DE"/>
        </w:rPr>
      </w:pPr>
      <w:r>
        <w:rPr>
          <w:b/>
          <w:i w:val="false"/>
          <w:color w:val="233B53"/>
          <w:sz w:val="16"/>
          <w:lang w:val="de-DE"/>
        </w:rPr>
        <w:t>FÜNF BEISPIELE AUS DEM KORPUS</w:t>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2550"/>
        <w:gridCol w:w="7711"/>
      </w:tblGrid>
      <w:tr>
        <w:trPr>
          <w:cantSplit w:val="true"/>
        </w:trPr>
        <w:tc>
          <w:tcPr>
            <w:tcW w:w="2550" w:type="dxa"/>
            <w:tcBorders>
              <w:top w:val="single" w:sz="4" w:space="0" w:color="D5DEE4"/>
              <w:left w:val="single" w:sz="16" w:space="0" w:color="2F6F73"/>
              <w:bottom w:val="single" w:sz="4" w:space="0" w:color="D5DEE4"/>
              <w:right w:val="single" w:sz="4" w:space="0" w:color="D5DEE4"/>
            </w:tcBorders>
            <w:shd w:fill="EEF5F3"/>
            <w:vAlign w:val="center"/>
          </w:tcPr>
          <w:p>
            <w:pPr>
              <w:pStyle w:val="Normal"/>
              <w:spacing w:before="0" w:after="20"/>
              <w:rPr>
                <w:lang w:val="de-DE"/>
              </w:rPr>
            </w:pPr>
            <w:r>
              <w:rPr>
                <w:b/>
                <w:i w:val="false"/>
                <w:color w:val="2F6F73"/>
                <w:sz w:val="14"/>
                <w:lang w:val="de-DE"/>
              </w:rPr>
              <w:t>GEWÖHNLICHES BEISPIEL</w:t>
            </w:r>
          </w:p>
          <w:p>
            <w:pPr>
              <w:pStyle w:val="Normal"/>
              <w:spacing w:before="0" w:after="0"/>
              <w:rPr>
                <w:lang w:val="de-DE"/>
              </w:rPr>
            </w:pPr>
            <w:r>
              <w:rPr>
                <w:b/>
                <w:i w:val="false"/>
                <w:color w:val="233B53"/>
                <w:sz w:val="18"/>
                <w:lang w:val="de-DE"/>
              </w:rPr>
              <w:t>STUFE 2</w:t>
            </w:r>
          </w:p>
        </w:tc>
        <w:tc>
          <w:tcPr>
            <w:tcW w:w="7711" w:type="dxa"/>
            <w:tcBorders>
              <w:top w:val="single" w:sz="4" w:space="0" w:color="D5DEE4"/>
              <w:left w:val="single" w:sz="4" w:space="0" w:color="D5DEE4"/>
              <w:bottom w:val="single" w:sz="4" w:space="0" w:color="D5DEE4"/>
              <w:right w:val="single" w:sz="4" w:space="0" w:color="D5DEE4"/>
            </w:tcBorders>
            <w:shd w:fill="EEF5F3"/>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Ich sehe 0 Jahre Berufserfahrung“</w:t>
            </w:r>
          </w:p>
          <w:p>
            <w:pPr>
              <w:pStyle w:val="Normal"/>
              <w:spacing w:before="0" w:after="0"/>
              <w:rPr>
                <w:lang w:val="de-DE"/>
              </w:rPr>
            </w:pPr>
            <w:r>
              <w:rPr>
                <w:b/>
                <w:i w:val="false"/>
                <w:color w:val="2F6F73"/>
                <w:sz w:val="16"/>
                <w:lang w:val="de-DE"/>
              </w:rPr>
              <w:t xml:space="preserve">Muster: </w:t>
            </w:r>
            <w:r>
              <w:rPr>
                <w:b w:val="false"/>
                <w:i w:val="false"/>
                <w:color w:val="1F252A"/>
                <w:sz w:val="16"/>
                <w:lang w:val="de-DE"/>
              </w:rPr>
              <w:t>Aus einem kurzen visuellen Eindruck wird eine vollständige Aussage über die berufliche Biografie abgeleitet – ohne erkennbare Tatsachengrundlage.</w:t>
            </w:r>
          </w:p>
        </w:tc>
      </w:tr>
    </w:tbl>
    <w:p>
      <w:pPr>
        <w:pStyle w:val="Normal"/>
        <w:keepLines/>
        <w:spacing w:before="0" w:after="10"/>
        <w:rPr>
          <w:lang w:val="de-DE"/>
        </w:rPr>
      </w:pPr>
      <w:r>
        <w:rPr>
          <w:lang w:val="de-DE"/>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2550"/>
        <w:gridCol w:w="7711"/>
      </w:tblGrid>
      <w:tr>
        <w:trPr>
          <w:cantSplit w:val="true"/>
        </w:trPr>
        <w:tc>
          <w:tcPr>
            <w:tcW w:w="2550" w:type="dxa"/>
            <w:tcBorders>
              <w:top w:val="single" w:sz="4" w:space="0" w:color="D5DEE4"/>
              <w:left w:val="single" w:sz="16" w:space="0" w:color="2F6F73"/>
              <w:bottom w:val="single" w:sz="4" w:space="0" w:color="D5DEE4"/>
              <w:right w:val="single" w:sz="4" w:space="0" w:color="D5DEE4"/>
            </w:tcBorders>
            <w:shd w:fill="EEF5F3"/>
            <w:vAlign w:val="center"/>
          </w:tcPr>
          <w:p>
            <w:pPr>
              <w:pStyle w:val="Normal"/>
              <w:spacing w:before="0" w:after="20"/>
              <w:rPr>
                <w:lang w:val="de-DE"/>
              </w:rPr>
            </w:pPr>
            <w:r>
              <w:rPr>
                <w:b/>
                <w:i w:val="false"/>
                <w:color w:val="2F6F73"/>
                <w:sz w:val="14"/>
                <w:lang w:val="de-DE"/>
              </w:rPr>
              <w:t>GEWÖHNLICHES BEISPIEL</w:t>
            </w:r>
          </w:p>
          <w:p>
            <w:pPr>
              <w:pStyle w:val="Normal"/>
              <w:spacing w:before="0" w:after="0"/>
              <w:rPr>
                <w:lang w:val="de-DE"/>
              </w:rPr>
            </w:pPr>
            <w:r>
              <w:rPr>
                <w:b/>
                <w:i w:val="false"/>
                <w:color w:val="233B53"/>
                <w:sz w:val="18"/>
                <w:lang w:val="de-DE"/>
              </w:rPr>
              <w:t>STUFE 2</w:t>
            </w:r>
          </w:p>
        </w:tc>
        <w:tc>
          <w:tcPr>
            <w:tcW w:w="7711" w:type="dxa"/>
            <w:tcBorders>
              <w:top w:val="single" w:sz="4" w:space="0" w:color="D5DEE4"/>
              <w:left w:val="single" w:sz="4" w:space="0" w:color="D5DEE4"/>
              <w:bottom w:val="single" w:sz="4" w:space="0" w:color="D5DEE4"/>
              <w:right w:val="single" w:sz="4" w:space="0" w:color="D5DEE4"/>
            </w:tcBorders>
            <w:shd w:fill="EEF5F3"/>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Jährliches Bürgergeld Empfänger Treffen?“</w:t>
            </w:r>
          </w:p>
          <w:p>
            <w:pPr>
              <w:pStyle w:val="Normal"/>
              <w:spacing w:before="0" w:after="0"/>
              <w:rPr>
                <w:lang w:val="de-DE"/>
              </w:rPr>
            </w:pPr>
            <w:r>
              <w:rPr>
                <w:b/>
                <w:i w:val="false"/>
                <w:color w:val="2F6F73"/>
                <w:sz w:val="16"/>
                <w:lang w:val="de-DE"/>
              </w:rPr>
              <w:t xml:space="preserve">Muster: </w:t>
            </w:r>
            <w:r>
              <w:rPr>
                <w:b w:val="false"/>
                <w:i w:val="false"/>
                <w:color w:val="1F252A"/>
                <w:sz w:val="16"/>
                <w:lang w:val="de-DE"/>
              </w:rPr>
              <w:t>Die Gruppe wird pauschal einem Transferstatus zugeordnet. Die Frageform tarnt die Zuschreibung, ändert aber nichts an ihrer Funktion.</w:t>
            </w:r>
          </w:p>
        </w:tc>
      </w:tr>
    </w:tbl>
    <w:p>
      <w:pPr>
        <w:pStyle w:val="Normal"/>
        <w:keepLines/>
        <w:spacing w:before="0" w:after="10"/>
        <w:rPr>
          <w:lang w:val="de-DE"/>
        </w:rPr>
      </w:pPr>
      <w:r>
        <w:rPr>
          <w:lang w:val="de-DE"/>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3857"/>
        <w:gridCol w:w="6404"/>
      </w:tblGrid>
      <w:tr>
        <w:trPr>
          <w:cantSplit w:val="true"/>
        </w:trPr>
        <w:tc>
          <w:tcPr>
            <w:tcW w:w="3857" w:type="dxa"/>
            <w:tcBorders>
              <w:top w:val="single" w:sz="4" w:space="0" w:color="D5DEE4"/>
              <w:left w:val="single" w:sz="16" w:space="0" w:color="7B673E"/>
              <w:bottom w:val="single" w:sz="4" w:space="0" w:color="D5DEE4"/>
              <w:right w:val="single" w:sz="4" w:space="0" w:color="D5DEE4"/>
            </w:tcBorders>
            <w:shd w:fill="F6F2E8"/>
            <w:vAlign w:val="center"/>
          </w:tcPr>
          <w:p>
            <w:pPr>
              <w:pStyle w:val="Normal"/>
              <w:spacing w:before="0" w:after="20"/>
              <w:rPr>
                <w:lang w:val="de-DE"/>
              </w:rPr>
            </w:pPr>
            <w:r>
              <w:rPr>
                <w:b/>
                <w:i w:val="false"/>
                <w:color w:val="7B673E"/>
                <w:sz w:val="14"/>
                <w:lang w:val="de-DE"/>
              </w:rPr>
              <w:t>VERDICHTETES BEISPIEL</w:t>
            </w:r>
          </w:p>
          <w:p>
            <w:pPr>
              <w:pStyle w:val="Normal"/>
              <w:spacing w:before="0" w:after="0"/>
              <w:rPr>
                <w:lang w:val="de-DE"/>
              </w:rPr>
            </w:pPr>
            <w:r>
              <w:rPr>
                <w:b/>
                <w:i w:val="false"/>
                <w:color w:val="233B53"/>
                <w:sz w:val="18"/>
                <w:lang w:val="de-DE"/>
              </w:rPr>
              <w:t>STUFE 2</w:t>
            </w:r>
          </w:p>
        </w:tc>
        <w:tc>
          <w:tcPr>
            <w:tcW w:w="6404" w:type="dxa"/>
            <w:tcBorders>
              <w:top w:val="single" w:sz="4" w:space="0" w:color="D5DEE4"/>
              <w:left w:val="single" w:sz="4" w:space="0" w:color="D5DEE4"/>
              <w:bottom w:val="single" w:sz="4" w:space="0" w:color="D5DEE4"/>
              <w:right w:val="single" w:sz="4" w:space="0" w:color="D5DEE4"/>
            </w:tcBorders>
            <w:shd w:fill="F6F2E8"/>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Assis die nicht Arbeiten wollen . Das ist das einzige was ich dort sehe“</w:t>
            </w:r>
          </w:p>
          <w:p>
            <w:pPr>
              <w:pStyle w:val="Normal"/>
              <w:spacing w:before="0" w:after="0"/>
              <w:rPr>
                <w:lang w:val="de-DE"/>
              </w:rPr>
            </w:pPr>
            <w:r>
              <w:rPr>
                <w:b/>
                <w:i w:val="false"/>
                <w:color w:val="7B673E"/>
                <w:sz w:val="16"/>
                <w:lang w:val="de-DE"/>
              </w:rPr>
              <w:t xml:space="preserve">Muster: </w:t>
            </w:r>
            <w:r>
              <w:rPr>
                <w:b w:val="false"/>
                <w:i w:val="false"/>
                <w:color w:val="1F252A"/>
                <w:sz w:val="16"/>
                <w:lang w:val="de-DE"/>
              </w:rPr>
              <w:t>Die unterstellte Arbeitsunwilligkeit wird direkt mit einer sozialen Abwertung verbunden: Aus einer Vermutung über Arbeit wird eine Bewertung der Personen.</w:t>
            </w:r>
          </w:p>
        </w:tc>
      </w:tr>
    </w:tbl>
    <w:p>
      <w:pPr>
        <w:pStyle w:val="Normal"/>
        <w:keepLines/>
        <w:spacing w:before="0" w:after="10"/>
        <w:rPr>
          <w:lang w:val="de-DE"/>
        </w:rPr>
      </w:pPr>
      <w:r>
        <w:rPr>
          <w:lang w:val="de-DE"/>
        </w:rPr>
      </w:r>
    </w:p>
    <w:tbl>
      <w:tblPr>
        <w:tblW w:w="10262"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3857"/>
        <w:gridCol w:w="6404"/>
      </w:tblGrid>
      <w:tr>
        <w:trPr>
          <w:cantSplit w:val="true"/>
        </w:trPr>
        <w:tc>
          <w:tcPr>
            <w:tcW w:w="3857" w:type="dxa"/>
            <w:tcBorders>
              <w:top w:val="single" w:sz="4" w:space="0" w:color="D5DEE4"/>
              <w:left w:val="single" w:sz="16" w:space="0" w:color="7B673E"/>
              <w:bottom w:val="single" w:sz="4" w:space="0" w:color="D5DEE4"/>
              <w:right w:val="single" w:sz="4" w:space="0" w:color="D5DEE4"/>
            </w:tcBorders>
            <w:shd w:fill="F6F2E8"/>
            <w:vAlign w:val="center"/>
          </w:tcPr>
          <w:p>
            <w:pPr>
              <w:pStyle w:val="Normal"/>
              <w:spacing w:before="0" w:after="20"/>
              <w:rPr>
                <w:lang w:val="de-DE"/>
              </w:rPr>
            </w:pPr>
            <w:r>
              <w:rPr>
                <w:b/>
                <w:i w:val="false"/>
                <w:color w:val="7B673E"/>
                <w:sz w:val="14"/>
                <w:lang w:val="de-DE"/>
              </w:rPr>
              <w:t>VERDICHTETES BEISPIEL</w:t>
            </w:r>
          </w:p>
          <w:p>
            <w:pPr>
              <w:pStyle w:val="Normal"/>
              <w:spacing w:before="0" w:after="0"/>
              <w:rPr>
                <w:lang w:val="de-DE"/>
              </w:rPr>
            </w:pPr>
            <w:r>
              <w:rPr>
                <w:b/>
                <w:i w:val="false"/>
                <w:color w:val="233B53"/>
                <w:sz w:val="18"/>
                <w:lang w:val="de-DE"/>
              </w:rPr>
              <w:t>STUFE 3</w:t>
            </w:r>
          </w:p>
        </w:tc>
        <w:tc>
          <w:tcPr>
            <w:tcW w:w="6404" w:type="dxa"/>
            <w:tcBorders>
              <w:top w:val="single" w:sz="4" w:space="0" w:color="D5DEE4"/>
              <w:left w:val="single" w:sz="4" w:space="0" w:color="D5DEE4"/>
              <w:bottom w:val="single" w:sz="4" w:space="0" w:color="D5DEE4"/>
              <w:right w:val="single" w:sz="4" w:space="0" w:color="D5DEE4"/>
            </w:tcBorders>
            <w:shd w:fill="F6F2E8"/>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Das ganze arbeitsscheue Gesindel“</w:t>
            </w:r>
          </w:p>
          <w:p>
            <w:pPr>
              <w:pStyle w:val="Normal"/>
              <w:spacing w:before="0" w:after="0"/>
              <w:rPr>
                <w:lang w:val="de-DE"/>
              </w:rPr>
            </w:pPr>
            <w:r>
              <w:rPr>
                <w:b/>
                <w:i w:val="false"/>
                <w:color w:val="7B673E"/>
                <w:sz w:val="16"/>
                <w:lang w:val="de-DE"/>
              </w:rPr>
              <w:t xml:space="preserve">Muster: </w:t>
            </w:r>
            <w:r>
              <w:rPr>
                <w:b w:val="false"/>
                <w:i w:val="false"/>
                <w:color w:val="1F252A"/>
                <w:sz w:val="16"/>
                <w:lang w:val="de-DE"/>
              </w:rPr>
              <w:t>„Arbeitsscheu“ und „Gesindel“ koppeln Leistungsurteil und Kollektivabwertung. Die vermeintliche Produktivität wird zum moralischen Maßstab.</w:t>
            </w:r>
          </w:p>
        </w:tc>
      </w:tr>
    </w:tbl>
    <w:p>
      <w:pPr>
        <w:pStyle w:val="Normal"/>
        <w:keepLines/>
        <w:spacing w:before="0" w:after="10"/>
        <w:rPr>
          <w:lang w:val="de-DE"/>
        </w:rPr>
      </w:pPr>
      <w:r>
        <w:rPr>
          <w:lang w:val="de-DE"/>
        </w:rPr>
      </w:r>
    </w:p>
    <w:tbl>
      <w:tblPr>
        <w:tblW w:w="10263" w:type="dxa"/>
        <w:jc w:val="center"/>
        <w:tblInd w:w="0" w:type="dxa"/>
        <w:tblLayout w:type="fixed"/>
        <w:tblCellMar>
          <w:top w:w="105" w:type="dxa"/>
          <w:left w:w="115" w:type="dxa"/>
          <w:bottom w:w="95" w:type="dxa"/>
          <w:right w:w="95" w:type="dxa"/>
        </w:tblCellMar>
        <w:tblLook w:val="04a0" w:noHBand="0" w:noVBand="1" w:firstColumn="1" w:lastRow="0" w:lastColumn="0" w:firstRow="1"/>
      </w:tblPr>
      <w:tblGrid>
        <w:gridCol w:w="5131"/>
        <w:gridCol w:w="5131"/>
      </w:tblGrid>
      <w:tr>
        <w:trPr>
          <w:cantSplit w:val="true"/>
        </w:trPr>
        <w:tc>
          <w:tcPr>
            <w:tcW w:w="5131" w:type="dxa"/>
            <w:tcBorders>
              <w:top w:val="single" w:sz="4" w:space="0" w:color="D5DEE4"/>
              <w:left w:val="single" w:sz="16" w:space="0" w:color="87414B"/>
              <w:bottom w:val="single" w:sz="4" w:space="0" w:color="D5DEE4"/>
              <w:right w:val="single" w:sz="4" w:space="0" w:color="D5DEE4"/>
            </w:tcBorders>
            <w:shd w:fill="F7ECEE"/>
            <w:vAlign w:val="center"/>
          </w:tcPr>
          <w:p>
            <w:pPr>
              <w:pStyle w:val="Normal"/>
              <w:spacing w:before="0" w:after="20"/>
              <w:rPr>
                <w:lang w:val="de-DE"/>
              </w:rPr>
            </w:pPr>
            <w:r>
              <w:rPr>
                <w:b/>
                <w:i w:val="false"/>
                <w:color w:val="87414B"/>
                <w:sz w:val="14"/>
                <w:lang w:val="de-DE"/>
              </w:rPr>
              <w:t>HÖCHSTE INTENSITÄT IM TEILKORPUS</w:t>
            </w:r>
          </w:p>
          <w:p>
            <w:pPr>
              <w:pStyle w:val="Normal"/>
              <w:spacing w:before="0" w:after="0"/>
              <w:rPr>
                <w:lang w:val="de-DE"/>
              </w:rPr>
            </w:pPr>
            <w:r>
              <w:rPr>
                <w:b/>
                <w:i w:val="false"/>
                <w:color w:val="233B53"/>
                <w:sz w:val="18"/>
                <w:lang w:val="de-DE"/>
              </w:rPr>
              <w:t>STUFE 3</w:t>
            </w:r>
          </w:p>
        </w:tc>
        <w:tc>
          <w:tcPr>
            <w:tcW w:w="5131" w:type="dxa"/>
            <w:tcBorders>
              <w:top w:val="single" w:sz="4" w:space="0" w:color="D5DEE4"/>
              <w:left w:val="single" w:sz="4" w:space="0" w:color="D5DEE4"/>
              <w:bottom w:val="single" w:sz="4" w:space="0" w:color="D5DEE4"/>
              <w:right w:val="single" w:sz="4" w:space="0" w:color="D5DEE4"/>
            </w:tcBorders>
            <w:shd w:fill="F7ECEE"/>
            <w:tcMar>
              <w:top w:w="100" w:type="dxa"/>
              <w:left w:w="145" w:type="dxa"/>
              <w:right w:w="145" w:type="dxa"/>
            </w:tcMar>
            <w:vAlign w:val="center"/>
          </w:tcPr>
          <w:p>
            <w:pPr>
              <w:pStyle w:val="Normal"/>
              <w:spacing w:before="0" w:after="60"/>
              <w:rPr>
                <w:lang w:val="de-DE"/>
              </w:rPr>
            </w:pPr>
            <w:r>
              <w:rPr>
                <w:b/>
                <w:i w:val="false"/>
                <w:color w:val="1F252A"/>
                <w:sz w:val="19"/>
                <w:lang w:val="de-DE"/>
              </w:rPr>
              <w:t>„</w:t>
            </w:r>
            <w:r>
              <w:rPr>
                <w:b/>
                <w:i w:val="false"/>
                <w:color w:val="1F252A"/>
                <w:sz w:val="19"/>
                <w:lang w:val="de-DE"/>
              </w:rPr>
              <w:t>Das ganze linksgrüne sozialschmarozer Gesindel Tanzt mit meinem Geld</w:t>
              <w:br/>
              <w:t>Faules dummes dreckspack“</w:t>
            </w:r>
          </w:p>
          <w:p>
            <w:pPr>
              <w:pStyle w:val="Normal"/>
              <w:spacing w:before="0" w:after="0"/>
              <w:rPr>
                <w:lang w:val="de-DE"/>
              </w:rPr>
            </w:pPr>
            <w:r>
              <w:rPr>
                <w:b/>
                <w:i w:val="false"/>
                <w:color w:val="87414B"/>
                <w:sz w:val="16"/>
                <w:lang w:val="de-DE"/>
              </w:rPr>
              <w:t xml:space="preserve">Muster: </w:t>
            </w:r>
            <w:r>
              <w:rPr>
                <w:b w:val="false"/>
                <w:i w:val="false"/>
                <w:color w:val="1F252A"/>
                <w:sz w:val="16"/>
                <w:lang w:val="de-DE"/>
              </w:rPr>
              <w:t>Transferressentiment, Leistungsabwertung, politische Markierung und persönliche Verachtung werden gebündelt. Die soziale Zuschreibung dient nun als Begründung umfassender Minderwertigkeit.</w:t>
            </w:r>
          </w:p>
        </w:tc>
      </w:tr>
    </w:tbl>
    <w:p>
      <w:pPr>
        <w:pStyle w:val="Normal"/>
        <w:keepLines/>
        <w:spacing w:before="0" w:after="10"/>
        <w:rPr>
          <w:lang w:val="de-DE"/>
        </w:rPr>
      </w:pPr>
      <w:r>
        <w:rPr>
          <w:lang w:val="de-DE"/>
        </w:rPr>
      </w:r>
    </w:p>
    <w:p>
      <w:pPr>
        <w:pStyle w:val="Normal"/>
        <w:keepLines/>
        <w:spacing w:before="80" w:after="60"/>
        <w:rPr>
          <w:lang w:val="de-DE"/>
        </w:rPr>
      </w:pPr>
      <w:r>
        <w:rPr/>
      </w:r>
    </w:p>
    <w:p>
      <w:pPr>
        <w:pStyle w:val="Normal"/>
        <w:spacing w:before="80" w:after="60"/>
        <w:rPr>
          <w:lang w:val="de-DE"/>
        </w:rPr>
      </w:pPr>
      <w:r>
        <w:rPr>
          <w:b/>
          <w:i w:val="false"/>
          <w:color w:val="233B53"/>
          <w:sz w:val="16"/>
          <w:lang w:val="de-DE"/>
        </w:rPr>
        <w:t>ARBEITSAUFTRAG</w:t>
      </w:r>
    </w:p>
    <w:tbl>
      <w:tblPr>
        <w:tblW w:w="10263" w:type="dxa"/>
        <w:jc w:val="center"/>
        <w:tblInd w:w="0" w:type="dxa"/>
        <w:tblLayout w:type="fixed"/>
        <w:tblCellMar>
          <w:top w:w="110" w:type="dxa"/>
          <w:left w:w="165" w:type="dxa"/>
          <w:bottom w:w="105" w:type="dxa"/>
          <w:right w:w="165" w:type="dxa"/>
        </w:tblCellMar>
        <w:tblLook w:val="04a0" w:noHBand="0" w:noVBand="1" w:firstColumn="1" w:lastRow="0" w:lastColumn="0" w:firstRow="1"/>
      </w:tblPr>
      <w:tblGrid>
        <w:gridCol w:w="10263"/>
      </w:tblGrid>
      <w:tr>
        <w:trPr>
          <w:cantSplit w:val="true"/>
        </w:trPr>
        <w:tc>
          <w:tcPr>
            <w:tcW w:w="10263" w:type="dxa"/>
            <w:tcBorders/>
            <w:shd w:fill="233B53"/>
          </w:tcPr>
          <w:p>
            <w:pPr>
              <w:pStyle w:val="Normal"/>
              <w:spacing w:before="0" w:after="60"/>
              <w:rPr>
                <w:lang w:val="de-DE"/>
              </w:rPr>
            </w:pPr>
            <w:r>
              <w:rPr>
                <w:b/>
                <w:i w:val="false"/>
                <w:color w:val="FFFFFF"/>
                <w:sz w:val="18"/>
                <w:lang w:val="de-DE"/>
              </w:rPr>
              <w:t>1  Welche Aussagen über Arbeit, Einkommen oder Transferbezug werden behauptet – und worauf stützen sie sich?</w:t>
            </w:r>
          </w:p>
          <w:p>
            <w:pPr>
              <w:pStyle w:val="Normal"/>
              <w:spacing w:before="0" w:after="60"/>
              <w:rPr>
                <w:lang w:val="de-DE"/>
              </w:rPr>
            </w:pPr>
            <w:r>
              <w:rPr>
                <w:b/>
                <w:i w:val="false"/>
                <w:color w:val="FFFFFF"/>
                <w:sz w:val="18"/>
                <w:lang w:val="de-DE"/>
              </w:rPr>
              <w:t>2  Wo wird aus einer sozialen Zuschreibung eine moralische Bewertung der Person oder Gruppe?</w:t>
            </w:r>
          </w:p>
          <w:p>
            <w:pPr>
              <w:pStyle w:val="Normal"/>
              <w:spacing w:before="0" w:after="0"/>
              <w:rPr>
                <w:lang w:val="de-DE"/>
              </w:rPr>
            </w:pPr>
            <w:r>
              <w:rPr>
                <w:b/>
                <w:i w:val="false"/>
                <w:color w:val="FFFFFF"/>
                <w:sz w:val="18"/>
                <w:lang w:val="de-DE"/>
              </w:rPr>
              <w:t>3  Welche Wörter markieren den Übergang von „leistet angeblich nichts“ zu „ist deshalb weniger wert“?</w:t>
            </w:r>
          </w:p>
        </w:tc>
      </w:tr>
      <w:tr>
        <w:trPr>
          <w:cantSplit w:val="true"/>
        </w:trPr>
        <w:tc>
          <w:tcPr>
            <w:tcW w:w="10263" w:type="dxa"/>
            <w:tcBorders>
              <w:left w:val="single" w:sz="14" w:space="0" w:color="2F6F73"/>
            </w:tcBorders>
            <w:shd w:fill="EEF5F3"/>
            <w:tcMar>
              <w:top w:w="80" w:type="dxa"/>
              <w:left w:w="140" w:type="dxa"/>
              <w:bottom w:w="80" w:type="dxa"/>
              <w:right w:w="140" w:type="dxa"/>
            </w:tcMar>
          </w:tcPr>
          <w:p>
            <w:pPr>
              <w:pStyle w:val="Normal"/>
              <w:spacing w:before="0" w:after="0"/>
              <w:rPr>
                <w:lang w:val="de-DE"/>
              </w:rPr>
            </w:pPr>
            <w:r>
              <w:rPr>
                <w:b/>
                <w:i w:val="false"/>
                <w:color w:val="2F6F73"/>
                <w:sz w:val="15"/>
                <w:lang w:val="de-DE"/>
              </w:rPr>
              <w:t xml:space="preserve">LESESCHLÜSSEL  </w:t>
            </w:r>
            <w:r>
              <w:rPr>
                <w:b w:val="false"/>
                <w:i w:val="false"/>
                <w:color w:val="1F252A"/>
                <w:sz w:val="15"/>
                <w:lang w:val="de-DE"/>
              </w:rPr>
              <w:t>Achte auf die Abfolge: soziale Zuschreibung → Leistungsurteil → moralische Rangordnung → gegebenenfalls Entmenschlichung. Nicht jeder Kommentar durchläuft alle Schritte.</w:t>
            </w:r>
          </w:p>
        </w:tc>
      </w:tr>
    </w:tbl>
    <w:p>
      <w:pPr>
        <w:pStyle w:val="Normal"/>
        <w:keepLines/>
        <w:pBdr>
          <w:top w:val="single" w:sz="6" w:space="0" w:color="D5DEE4"/>
        </w:pBdr>
        <w:spacing w:before="80" w:after="0"/>
        <w:rPr>
          <w:lang w:val="de-DE"/>
        </w:rPr>
      </w:pPr>
      <w:r>
        <w:rPr>
          <w:b/>
          <w:i w:val="false"/>
          <w:color w:val="233B53"/>
          <w:sz w:val="14"/>
          <w:lang w:val="de-DE"/>
        </w:rPr>
        <w:t xml:space="preserve">QUELLENHINWEIS  </w:t>
      </w:r>
      <w:r>
        <w:rPr>
          <w:b w:val="false"/>
          <w:i w:val="false"/>
          <w:color w:val="5D6870"/>
          <w:sz w:val="14"/>
          <w:lang w:val="de-DE"/>
        </w:rPr>
        <w:t>Anonymisierte Originalzitate aus dem dokumentierten Korpus. Die Intensitätsangaben folgen der im Arbeitsdatensatz verwendeten Eskalationsskala (1–5). Die Beispiele illustrieren Kommunikationsmuster und sind keine Aussagen über politische Gruppen insgesamt.</w:t>
      </w:r>
    </w:p>
    <w:sectPr>
      <w:headerReference w:type="default" r:id="rId2"/>
      <w:footerReference w:type="default" r:id="rId3"/>
      <w:type w:val="nextPage"/>
      <w:pgSz w:w="11906" w:h="16838"/>
      <w:pgMar w:left="822" w:right="822" w:gutter="0" w:header="709" w:top="1410" w:footer="652" w:bottom="111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Liberation Sans">
    <w:altName w:val="Arial"/>
    <w:charset w:val="01"/>
    <w:family w:val="roman"/>
    <w:pitch w:val="variable"/>
  </w:font>
  <w:font w:name="Calibri">
    <w:charset w:val="01"/>
    <w:family w:val="roman"/>
    <w:pitch w:val="variable"/>
  </w:font>
  <w:font w:name="Courier">
    <w:altName w:val="Courier New"/>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b/>
        <w:bCs/>
        <w:sz w:val="16"/>
        <w:szCs w:val="16"/>
      </w:rPr>
    </w:pPr>
    <w:r>
      <w:rPr>
        <w:b/>
        <w:bCs/>
        <w:sz w:val="16"/>
        <w:szCs w:val="16"/>
      </w:rPr>
      <w:t>OER Material nach Lizenz: CC-NC-BY-SA - Merten Giesen 2026</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20"/>
      <w:rPr>
        <w:b/>
        <w:bCs/>
        <w:sz w:val="24"/>
        <w:szCs w:val="24"/>
      </w:rPr>
    </w:pPr>
    <w:r>
      <w:rPr>
        <w:b/>
        <w:bCs/>
        <w:sz w:val="24"/>
        <w:szCs w:val="24"/>
      </w:rPr>
      <w:t xml:space="preserve">KOMMENTARSPALTEN RICHTIG LESEN </w:t>
    </w:r>
    <w:r>
      <w:rPr>
        <w:b/>
        <w:bCs/>
        <w:sz w:val="24"/>
        <w:szCs w:val="24"/>
      </w:rPr>
      <w:t>2</w:t>
    </w:r>
    <w:r>
      <w:rPr>
        <w:b/>
        <w:bCs/>
        <w:sz w:val="24"/>
        <w:szCs w:val="24"/>
      </w:rPr>
      <w:t>/5</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de-DE"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59" w:before="0" w:after="70"/>
      <w:jc w:val="left"/>
    </w:pPr>
    <w:rPr>
      <w:rFonts w:ascii="Liberation Sans" w:hAnsi="Liberation Sans" w:eastAsia="ＭＳ 明朝" w:cs=""/>
      <w:color w:val="1F252A"/>
      <w:kern w:val="0"/>
      <w:sz w:val="18"/>
      <w:szCs w:val="22"/>
      <w:lang w:val="de-DE"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berschrift">
    <w:name w:val="Überschrift"/>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7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Verzeichnis">
    <w:name w:val="Verzeichnis"/>
    <w:basedOn w:val="Normal"/>
    <w:qFormat/>
    <w:pPr>
      <w:suppressLineNumbers/>
    </w:pPr>
    <w:rPr>
      <w:rFonts w:cs="FreeSans"/>
    </w:rPr>
  </w:style>
  <w:style w:type="paragraph" w:styleId="Kopf-Fuzeile">
    <w:name w:val="Kopf-/Fußzeile"/>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de-DE"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7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70"/>
      <w:ind w:hanging="360" w:left="720"/>
      <w:contextualSpacing/>
    </w:pPr>
    <w:rPr/>
  </w:style>
  <w:style w:type="paragraph" w:styleId="List3">
    <w:name w:val="List 3"/>
    <w:basedOn w:val="Normal"/>
    <w:uiPriority w:val="99"/>
    <w:unhideWhenUsed/>
    <w:qFormat/>
    <w:rsid w:val="00326f90"/>
    <w:pPr>
      <w:spacing w:before="0" w:after="70"/>
      <w:ind w:hanging="360" w:left="1080"/>
      <w:contextualSpacing/>
    </w:pPr>
    <w:rPr/>
  </w:style>
  <w:style w:type="paragraph" w:styleId="ListBullet">
    <w:name w:val="List Bullet"/>
    <w:basedOn w:val="Normal"/>
    <w:uiPriority w:val="99"/>
    <w:unhideWhenUsed/>
    <w:rsid w:val="00326f90"/>
    <w:pPr>
      <w:numPr>
        <w:ilvl w:val="0"/>
        <w:numId w:val="1"/>
      </w:numPr>
      <w:spacing w:before="0" w:after="70"/>
      <w:contextualSpacing/>
    </w:pPr>
    <w:rPr/>
  </w:style>
  <w:style w:type="paragraph" w:styleId="ListBullet2">
    <w:name w:val="List Bullet 2"/>
    <w:basedOn w:val="Normal"/>
    <w:uiPriority w:val="99"/>
    <w:unhideWhenUsed/>
    <w:rsid w:val="00326f90"/>
    <w:pPr>
      <w:numPr>
        <w:ilvl w:val="0"/>
        <w:numId w:val="2"/>
      </w:numPr>
      <w:spacing w:before="0" w:after="70"/>
      <w:contextualSpacing/>
    </w:pPr>
    <w:rPr/>
  </w:style>
  <w:style w:type="paragraph" w:styleId="ListBullet3">
    <w:name w:val="List Bullet 3"/>
    <w:basedOn w:val="Normal"/>
    <w:uiPriority w:val="99"/>
    <w:unhideWhenUsed/>
    <w:rsid w:val="00326f90"/>
    <w:pPr>
      <w:numPr>
        <w:ilvl w:val="0"/>
        <w:numId w:val="3"/>
      </w:numPr>
      <w:spacing w:before="0" w:after="70"/>
      <w:contextualSpacing/>
    </w:pPr>
    <w:rPr/>
  </w:style>
  <w:style w:type="paragraph" w:styleId="ListNumber">
    <w:name w:val="List Number"/>
    <w:basedOn w:val="Normal"/>
    <w:uiPriority w:val="99"/>
    <w:unhideWhenUsed/>
    <w:rsid w:val="00326f90"/>
    <w:pPr>
      <w:numPr>
        <w:ilvl w:val="0"/>
        <w:numId w:val="4"/>
      </w:numPr>
      <w:spacing w:before="0" w:after="70"/>
      <w:contextualSpacing/>
    </w:pPr>
    <w:rPr/>
  </w:style>
  <w:style w:type="paragraph" w:styleId="ListNumber2">
    <w:name w:val="List Number 2"/>
    <w:basedOn w:val="Normal"/>
    <w:uiPriority w:val="99"/>
    <w:unhideWhenUsed/>
    <w:rsid w:val="0029639d"/>
    <w:pPr>
      <w:numPr>
        <w:ilvl w:val="0"/>
        <w:numId w:val="5"/>
      </w:numPr>
      <w:spacing w:before="0" w:after="70"/>
      <w:contextualSpacing/>
    </w:pPr>
    <w:rPr/>
  </w:style>
  <w:style w:type="paragraph" w:styleId="ListNumber3">
    <w:name w:val="List Number 3"/>
    <w:basedOn w:val="Normal"/>
    <w:uiPriority w:val="99"/>
    <w:unhideWhenUsed/>
    <w:rsid w:val="0029639d"/>
    <w:pPr>
      <w:numPr>
        <w:ilvl w:val="0"/>
        <w:numId w:val="6"/>
      </w:numPr>
      <w:spacing w:before="0" w:after="7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de-DE"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berschrift"/>
    <w:pPr/>
    <w:rPr/>
  </w:style>
  <w:style w:type="paragraph" w:styleId="TOCHeading">
    <w:name w:val="TOC Heading"/>
    <w:basedOn w:val="Heading1"/>
    <w:next w:val="Normal"/>
    <w:uiPriority w:val="39"/>
    <w:semiHidden/>
    <w:unhideWhenUsed/>
    <w:qFormat/>
    <w:rsid w:val="00fc693f"/>
    <w:pPr>
      <w:outlineLvl w:val="9"/>
    </w:pPr>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numbering" w:styleId="KeineListe" w:default="1">
    <w:name w:val="Keine Liste"/>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LibreOffice/24.2.7.2$Linux_X86_64 LibreOffice_project/420$Build-2</Application>
  <AppVersion>15.0000</AppVersion>
  <Pages>2</Pages>
  <Words>628</Words>
  <Characters>4421</Characters>
  <CharactersWithSpaces>4992</CharactersWithSpaces>
  <Paragraphs>72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Merten Giesen</dc:creator>
  <dc:description>generated by python-docx</dc:description>
  <dc:language>de-DE</dc:language>
  <cp:lastModifiedBy/>
  <dcterms:modified xsi:type="dcterms:W3CDTF">2026-08-28T12:48:00Z</dcterms:modified>
  <cp:revision>3</cp:revision>
  <dc:subject>Arbeit, Leistung und gesellschaftlicher Wert</dc:subject>
  <dc:title>Kommentarspalten lesen lernen – One-Pager 2 (zweiseitig)</dc:title>
</cp:coreProperties>
</file>

<file path=docProps/custom.xml><?xml version="1.0" encoding="utf-8"?>
<Properties xmlns="http://schemas.openxmlformats.org/officeDocument/2006/custom-properties" xmlns:vt="http://schemas.openxmlformats.org/officeDocument/2006/docPropsVTypes"/>
</file>