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Lines/>
        <w:spacing w:before="200" w:after="40"/>
        <w:rPr/>
      </w:pPr>
      <w:r>
        <w:rPr>
          <w:b/>
          <w:color w:val="233B53"/>
          <w:sz w:val="44"/>
          <w:lang w:val="de-DE"/>
        </w:rPr>
        <w:t>Aus einer Position wird ein Menschentyp</w:t>
      </w:r>
    </w:p>
    <w:p>
      <w:pPr>
        <w:pStyle w:val="Normal"/>
        <w:keepLines/>
        <w:spacing w:before="0" w:after="160"/>
        <w:rPr>
          <w:lang w:val="de-DE"/>
        </w:rPr>
      </w:pPr>
      <w:r>
        <w:rPr>
          <w:b/>
          <w:color w:val="2F6F73"/>
          <w:sz w:val="23"/>
          <w:lang w:val="de-DE"/>
        </w:rPr>
        <w:t>Politische Feindmarkierung und Kollektivabwertung</w:t>
      </w:r>
    </w:p>
    <w:tbl>
      <w:tblPr>
        <w:tblW w:w="10263" w:type="dxa"/>
        <w:jc w:val="center"/>
        <w:tblInd w:w="0" w:type="dxa"/>
        <w:tblLayout w:type="fixed"/>
        <w:tblCellMar>
          <w:top w:w="165" w:type="dxa"/>
          <w:left w:w="190" w:type="dxa"/>
          <w:bottom w:w="165" w:type="dxa"/>
          <w:right w:w="190" w:type="dxa"/>
        </w:tblCellMar>
        <w:tblLook w:val="04a0" w:noHBand="0" w:noVBand="1" w:firstColumn="1" w:lastRow="0" w:lastColumn="0" w:firstRow="1"/>
      </w:tblPr>
      <w:tblGrid>
        <w:gridCol w:w="10263"/>
      </w:tblGrid>
      <w:tr>
        <w:trPr>
          <w:cantSplit w:val="true"/>
        </w:trPr>
        <w:tc>
          <w:tcPr>
            <w:tcW w:w="10263" w:type="dxa"/>
            <w:tcBorders>
              <w:left w:val="single" w:sz="18" w:space="0" w:color="2F6F73"/>
            </w:tcBorders>
            <w:shd w:fill="EAF1F6"/>
          </w:tcPr>
          <w:p>
            <w:pPr>
              <w:pStyle w:val="Normal"/>
              <w:spacing w:before="0" w:after="40"/>
              <w:rPr>
                <w:lang w:val="de-DE"/>
              </w:rPr>
            </w:pPr>
            <w:r>
              <w:rPr>
                <w:b/>
                <w:color w:val="2F6F73"/>
                <w:sz w:val="17"/>
                <w:lang w:val="de-DE"/>
              </w:rPr>
              <w:t>KERNTHESE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color w:val="1F252A"/>
                <w:sz w:val="21"/>
                <w:lang w:val="de-DE"/>
              </w:rPr>
              <w:t>Eine politische Bezeichnung kann aufhören, nur eine Position zu beschreiben. Sie wird dann zum Etikett für einen vermeintlich bestimmten „Typ Mensch“ – dem anschließend weitere negative Eigenschaften zugeschrieben werden.</w:t>
            </w:r>
          </w:p>
        </w:tc>
      </w:tr>
    </w:tbl>
    <w:p>
      <w:pPr>
        <w:pStyle w:val="Normal"/>
        <w:keepLines/>
        <w:spacing w:before="180" w:after="60"/>
        <w:rPr>
          <w:rFonts w:ascii="Liberation Sans" w:hAnsi="Liberation Sans"/>
          <w:b/>
          <w:color w:val="233B53"/>
          <w:sz w:val="17"/>
        </w:rPr>
      </w:pPr>
      <w:r>
        <w:rPr>
          <w:lang w:val="de-DE"/>
        </w:rPr>
      </w:r>
    </w:p>
    <w:p>
      <w:pPr>
        <w:pStyle w:val="Normal"/>
        <w:spacing w:before="180" w:after="60"/>
        <w:rPr>
          <w:rFonts w:ascii="Liberation Sans" w:hAnsi="Liberation Sans"/>
          <w:b/>
          <w:color w:val="233B53"/>
          <w:sz w:val="17"/>
        </w:rPr>
      </w:pPr>
      <w:r>
        <w:rPr>
          <w:lang w:val="de-DE"/>
        </w:rPr>
      </w:r>
    </w:p>
    <w:p>
      <w:pPr>
        <w:pStyle w:val="Normal"/>
        <w:spacing w:before="180" w:after="60"/>
        <w:rPr>
          <w:lang w:val="de-DE"/>
        </w:rPr>
      </w:pPr>
      <w:r>
        <w:rPr>
          <w:b/>
          <w:color w:val="233B53"/>
          <w:sz w:val="17"/>
          <w:lang w:val="de-DE"/>
        </w:rPr>
        <w:t>WAS WIR IM MATERIAL SEHEN</w:t>
      </w:r>
    </w:p>
    <w:tbl>
      <w:tblPr>
        <w:tblW w:w="10263" w:type="dxa"/>
        <w:jc w:val="center"/>
        <w:tblInd w:w="0" w:type="dxa"/>
        <w:tblLayout w:type="fixed"/>
        <w:tblCellMar>
          <w:top w:w="130" w:type="dxa"/>
          <w:left w:w="130" w:type="dxa"/>
          <w:bottom w:w="120" w:type="dxa"/>
          <w:right w:w="130" w:type="dxa"/>
        </w:tblCellMar>
        <w:tblLook w:val="04a0" w:noHBand="0" w:noVBand="1" w:firstColumn="1" w:lastRow="0" w:lastColumn="0" w:firstRow="1"/>
      </w:tblPr>
      <w:tblGrid>
        <w:gridCol w:w="3421"/>
        <w:gridCol w:w="3421"/>
        <w:gridCol w:w="3421"/>
      </w:tblGrid>
      <w:tr>
        <w:trPr>
          <w:cantSplit w:val="true"/>
        </w:trPr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4F7F9"/>
          </w:tcPr>
          <w:p>
            <w:pPr>
              <w:pStyle w:val="Normal"/>
              <w:spacing w:before="0" w:after="0"/>
              <w:jc w:val="center"/>
              <w:rPr>
                <w:lang w:val="de-DE"/>
              </w:rPr>
            </w:pPr>
            <w:r>
              <w:rPr>
                <w:b/>
                <w:color w:val="233B53"/>
                <w:sz w:val="40"/>
                <w:lang w:val="de-DE"/>
              </w:rPr>
              <w:t>83</w:t>
            </w:r>
          </w:p>
          <w:p>
            <w:pPr>
              <w:pStyle w:val="Normal"/>
              <w:spacing w:before="0" w:after="20"/>
              <w:jc w:val="center"/>
              <w:rPr>
                <w:lang w:val="de-DE"/>
              </w:rPr>
            </w:pPr>
            <w:r>
              <w:rPr>
                <w:b/>
                <w:color w:val="2F6F73"/>
                <w:sz w:val="16"/>
                <w:lang w:val="de-DE"/>
              </w:rPr>
              <w:t>Kommentare</w:t>
            </w:r>
          </w:p>
          <w:p>
            <w:pPr>
              <w:pStyle w:val="Normal"/>
              <w:spacing w:before="0" w:after="20"/>
              <w:jc w:val="center"/>
              <w:rPr>
                <w:lang w:val="de-DE"/>
              </w:rPr>
            </w:pPr>
            <w:r>
              <w:rPr>
                <w:b/>
                <w:color w:val="1F252A"/>
                <w:sz w:val="16"/>
                <w:lang w:val="de-DE"/>
              </w:rPr>
              <w:t>mit politischer Outgroup-Markierung</w:t>
            </w:r>
          </w:p>
          <w:p>
            <w:pPr>
              <w:pStyle w:val="Normal"/>
              <w:spacing w:before="0" w:after="0"/>
              <w:jc w:val="center"/>
              <w:rPr>
                <w:lang w:val="de-DE"/>
              </w:rPr>
            </w:pPr>
            <w:r>
              <w:rPr>
                <w:color w:val="5D6870"/>
                <w:sz w:val="15"/>
                <w:lang w:val="de-DE"/>
              </w:rPr>
              <w:t>26,2 % der 317 Fälle</w:t>
            </w:r>
          </w:p>
        </w:tc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4F7F9"/>
          </w:tcPr>
          <w:p>
            <w:pPr>
              <w:pStyle w:val="Normal"/>
              <w:spacing w:before="0" w:after="0"/>
              <w:jc w:val="center"/>
              <w:rPr>
                <w:lang w:val="de-DE"/>
              </w:rPr>
            </w:pPr>
            <w:r>
              <w:rPr>
                <w:b/>
                <w:color w:val="233B53"/>
                <w:sz w:val="40"/>
                <w:lang w:val="de-DE"/>
              </w:rPr>
              <w:t>31</w:t>
            </w:r>
          </w:p>
          <w:p>
            <w:pPr>
              <w:pStyle w:val="Normal"/>
              <w:spacing w:before="0" w:after="20"/>
              <w:jc w:val="center"/>
              <w:rPr>
                <w:lang w:val="de-DE"/>
              </w:rPr>
            </w:pPr>
            <w:r>
              <w:rPr>
                <w:b/>
                <w:color w:val="2F6F73"/>
                <w:sz w:val="16"/>
                <w:lang w:val="de-DE"/>
              </w:rPr>
              <w:t>Kombinationen</w:t>
            </w:r>
          </w:p>
          <w:p>
            <w:pPr>
              <w:pStyle w:val="Normal"/>
              <w:spacing w:before="0" w:after="20"/>
              <w:jc w:val="center"/>
              <w:rPr>
                <w:lang w:val="de-DE"/>
              </w:rPr>
            </w:pPr>
            <w:r>
              <w:rPr>
                <w:b/>
                <w:color w:val="1F252A"/>
                <w:sz w:val="16"/>
                <w:lang w:val="de-DE"/>
              </w:rPr>
              <w:t>Outgroup + Entmenschlichung</w:t>
            </w:r>
          </w:p>
          <w:p>
            <w:pPr>
              <w:pStyle w:val="Normal"/>
              <w:spacing w:before="0" w:after="0"/>
              <w:jc w:val="center"/>
              <w:rPr>
                <w:lang w:val="de-DE"/>
              </w:rPr>
            </w:pPr>
            <w:r>
              <w:rPr>
                <w:color w:val="5D6870"/>
                <w:sz w:val="15"/>
                <w:lang w:val="de-DE"/>
              </w:rPr>
              <w:t>9,8 % der Fälle</w:t>
            </w:r>
          </w:p>
        </w:tc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4F7F9"/>
          </w:tcPr>
          <w:p>
            <w:pPr>
              <w:pStyle w:val="Normal"/>
              <w:spacing w:before="0" w:after="0"/>
              <w:jc w:val="center"/>
              <w:rPr>
                <w:lang w:val="de-DE"/>
              </w:rPr>
            </w:pPr>
            <w:r>
              <w:rPr>
                <w:b/>
                <w:color w:val="233B53"/>
                <w:sz w:val="40"/>
                <w:lang w:val="de-DE"/>
              </w:rPr>
              <w:t>26</w:t>
            </w:r>
          </w:p>
          <w:p>
            <w:pPr>
              <w:pStyle w:val="Normal"/>
              <w:spacing w:before="0" w:after="20"/>
              <w:jc w:val="center"/>
              <w:rPr>
                <w:lang w:val="de-DE"/>
              </w:rPr>
            </w:pPr>
            <w:r>
              <w:rPr>
                <w:b/>
                <w:color w:val="2F6F73"/>
                <w:sz w:val="16"/>
                <w:lang w:val="de-DE"/>
              </w:rPr>
              <w:t>Kombinationen</w:t>
            </w:r>
          </w:p>
          <w:p>
            <w:pPr>
              <w:pStyle w:val="Normal"/>
              <w:spacing w:before="0" w:after="20"/>
              <w:jc w:val="center"/>
              <w:rPr>
                <w:lang w:val="de-DE"/>
              </w:rPr>
            </w:pPr>
            <w:r>
              <w:rPr>
                <w:b/>
                <w:color w:val="1F252A"/>
                <w:sz w:val="16"/>
                <w:lang w:val="de-DE"/>
              </w:rPr>
              <w:t>Outgroup + persönliche Herabsetzung</w:t>
            </w:r>
          </w:p>
          <w:p>
            <w:pPr>
              <w:pStyle w:val="Normal"/>
              <w:spacing w:before="0" w:after="0"/>
              <w:jc w:val="center"/>
              <w:rPr>
                <w:lang w:val="de-DE"/>
              </w:rPr>
            </w:pPr>
            <w:r>
              <w:rPr>
                <w:color w:val="5D6870"/>
                <w:sz w:val="15"/>
                <w:lang w:val="de-DE"/>
              </w:rPr>
              <w:t>8,2 % der Fälle</w:t>
            </w:r>
          </w:p>
        </w:tc>
      </w:tr>
    </w:tbl>
    <w:p>
      <w:pPr>
        <w:pStyle w:val="Normal"/>
        <w:keepLines/>
        <w:spacing w:before="160" w:after="60"/>
        <w:rPr>
          <w:b/>
          <w:color w:val="233B53"/>
          <w:sz w:val="17"/>
        </w:rPr>
      </w:pPr>
      <w:r>
        <w:rPr>
          <w:lang w:val="de-DE"/>
        </w:rPr>
      </w:r>
    </w:p>
    <w:p>
      <w:pPr>
        <w:pStyle w:val="Normal"/>
        <w:spacing w:before="160" w:after="60"/>
        <w:rPr>
          <w:b/>
          <w:color w:val="233B53"/>
          <w:sz w:val="17"/>
        </w:rPr>
      </w:pPr>
      <w:r>
        <w:rPr>
          <w:lang w:val="de-DE"/>
        </w:rPr>
      </w:r>
    </w:p>
    <w:p>
      <w:pPr>
        <w:pStyle w:val="Normal"/>
        <w:spacing w:before="160" w:after="60"/>
        <w:rPr>
          <w:lang w:val="de-DE"/>
        </w:rPr>
      </w:pPr>
      <w:r>
        <w:rPr>
          <w:b/>
          <w:color w:val="233B53"/>
          <w:sz w:val="17"/>
          <w:lang w:val="de-DE"/>
        </w:rPr>
        <w:t>WAS SPRACHLICH PASSIERT</w:t>
      </w:r>
    </w:p>
    <w:tbl>
      <w:tblPr>
        <w:tblW w:w="10263" w:type="dxa"/>
        <w:jc w:val="center"/>
        <w:tblInd w:w="0" w:type="dxa"/>
        <w:tblLayout w:type="fixed"/>
        <w:tblCellMar>
          <w:top w:w="50" w:type="dxa"/>
          <w:left w:w="0" w:type="dxa"/>
          <w:bottom w:w="40" w:type="dxa"/>
          <w:right w:w="170" w:type="dxa"/>
        </w:tblCellMar>
        <w:tblLook w:val="04a0" w:noHBand="0" w:noVBand="1" w:firstColumn="1" w:lastRow="0" w:lastColumn="0" w:firstRow="1"/>
      </w:tblPr>
      <w:tblGrid>
        <w:gridCol w:w="5131"/>
        <w:gridCol w:w="5131"/>
      </w:tblGrid>
      <w:tr>
        <w:trPr>
          <w:cantSplit w:val="true"/>
        </w:trPr>
        <w:tc>
          <w:tcPr>
            <w:tcW w:w="5131" w:type="dxa"/>
            <w:tcBorders/>
          </w:tcPr>
          <w:p>
            <w:pPr>
              <w:pStyle w:val="Normal"/>
              <w:rPr>
                <w:lang w:val="de-DE"/>
              </w:rPr>
            </w:pPr>
            <w:r>
              <w:rPr>
                <w:b/>
                <w:color w:val="233B53"/>
                <w:sz w:val="20"/>
                <w:lang w:val="de-DE"/>
              </w:rPr>
              <w:t>1  Von der Position zur Identität</w:t>
            </w:r>
          </w:p>
          <w:p>
            <w:pPr>
              <w:pStyle w:val="Normal"/>
              <w:spacing w:before="0" w:after="100"/>
              <w:rPr>
                <w:lang w:val="de-DE"/>
              </w:rPr>
            </w:pPr>
            <w:r>
              <w:rPr>
                <w:lang w:val="de-DE"/>
              </w:rPr>
              <w:t>Das politische Etikett beschreibt nicht mehr nur, was jemand vertritt. Es wird zur Schablone für den ganzen Menschen. Individuelle Unterschiede treten zurück; die zugeschriebene Gruppenzugehörigkeit wird zur zentralen Erklärung.</w:t>
            </w:r>
          </w:p>
          <w:p>
            <w:pPr>
              <w:pStyle w:val="Normal"/>
              <w:spacing w:before="0" w:after="70"/>
              <w:rPr>
                <w:lang w:val="de-DE"/>
              </w:rPr>
            </w:pPr>
            <w:r>
              <w:rPr>
                <w:b/>
                <w:color w:val="2F6F73"/>
                <w:lang w:val="de-DE"/>
              </w:rPr>
              <w:t xml:space="preserve">Folge: </w:t>
            </w:r>
            <w:r>
              <w:rPr>
                <w:lang w:val="de-DE"/>
              </w:rPr>
              <w:t>Weitere Abwertungen lassen sich leichter anschließen – etwa zu Intelligenz, Moral, sozialem Status oder körperlichen Eigenschaften.</w:t>
            </w:r>
          </w:p>
        </w:tc>
        <w:tc>
          <w:tcPr>
            <w:tcW w:w="5131" w:type="dxa"/>
            <w:tcBorders/>
            <w:tcMar>
              <w:right w:w="0" w:type="dxa"/>
            </w:tcMar>
          </w:tcPr>
          <w:p>
            <w:pPr>
              <w:pStyle w:val="Normal"/>
              <w:rPr>
                <w:lang w:val="de-DE"/>
              </w:rPr>
            </w:pPr>
            <w:r>
              <w:rPr>
                <w:b/>
                <w:color w:val="233B53"/>
                <w:sz w:val="20"/>
                <w:lang w:val="de-DE"/>
              </w:rPr>
              <w:t>2  Vom Etikett zur Kollektivabwertung</w:t>
            </w:r>
          </w:p>
          <w:p>
            <w:pPr>
              <w:pStyle w:val="Normal"/>
              <w:spacing w:before="0" w:after="100"/>
              <w:rPr>
                <w:lang w:val="de-DE"/>
              </w:rPr>
            </w:pPr>
            <w:r>
              <w:rPr>
                <w:lang w:val="de-DE"/>
              </w:rPr>
              <w:t>Aus „gehört politisch zu X“ wird sinngemäß „ist als Mensch so“. Damit verschiebt sich die Auseinandersetzung: Nicht mehr konkrete Aussagen oder Handlungen stehen im Zentrum, sondern angeblich typische Eigenschaften einer ganzen Fremdgruppe.</w:t>
            </w:r>
          </w:p>
          <w:p>
            <w:pPr>
              <w:pStyle w:val="Normal"/>
              <w:spacing w:before="0" w:after="70"/>
              <w:rPr>
                <w:lang w:val="de-DE"/>
              </w:rPr>
            </w:pPr>
            <w:r>
              <w:rPr>
                <w:b/>
                <w:color w:val="2F6F73"/>
                <w:lang w:val="de-DE"/>
              </w:rPr>
              <w:t xml:space="preserve">Prüffrage: </w:t>
            </w:r>
            <w:r>
              <w:rPr>
                <w:lang w:val="de-DE"/>
              </w:rPr>
              <w:t>Wird hier noch eine Position kritisiert – oder werden aus einer Gruppenzuordnung Eigenschaften des Menschen abgeleitet?</w:t>
            </w:r>
          </w:p>
        </w:tc>
      </w:tr>
    </w:tbl>
    <w:p>
      <w:pPr>
        <w:pStyle w:val="Normal"/>
        <w:keepLines/>
        <w:spacing w:before="160" w:after="60"/>
        <w:rPr>
          <w:b/>
          <w:color w:val="233B53"/>
          <w:sz w:val="17"/>
        </w:rPr>
      </w:pPr>
      <w:r>
        <w:rPr>
          <w:lang w:val="de-DE"/>
        </w:rPr>
      </w:r>
    </w:p>
    <w:p>
      <w:pPr>
        <w:pStyle w:val="Normal"/>
        <w:spacing w:before="160" w:after="60"/>
        <w:rPr>
          <w:lang w:val="de-DE"/>
        </w:rPr>
      </w:pPr>
      <w:r>
        <w:rPr>
          <w:b/>
          <w:color w:val="233B53"/>
          <w:sz w:val="17"/>
          <w:lang w:val="de-DE"/>
        </w:rPr>
        <w:t>ORIENTIERUNG FÜR KOMMENTARSPALTEN</w:t>
      </w:r>
    </w:p>
    <w:tbl>
      <w:tblPr>
        <w:tblW w:w="10263" w:type="dxa"/>
        <w:jc w:val="center"/>
        <w:tblInd w:w="0" w:type="dxa"/>
        <w:tblLayout w:type="fixed"/>
        <w:tblCellMar>
          <w:top w:w="160" w:type="dxa"/>
          <w:left w:w="190" w:type="dxa"/>
          <w:bottom w:w="150" w:type="dxa"/>
          <w:right w:w="190" w:type="dxa"/>
        </w:tblCellMar>
        <w:tblLook w:val="04a0" w:noHBand="0" w:noVBand="1" w:firstColumn="1" w:lastRow="0" w:lastColumn="0" w:firstRow="1"/>
      </w:tblPr>
      <w:tblGrid>
        <w:gridCol w:w="10263"/>
      </w:tblGrid>
      <w:tr>
        <w:trPr>
          <w:cantSplit w:val="true"/>
        </w:trPr>
        <w:tc>
          <w:tcPr>
            <w:tcW w:w="10263" w:type="dxa"/>
            <w:tcBorders/>
            <w:shd w:fill="233B53"/>
          </w:tcPr>
          <w:p>
            <w:pPr>
              <w:pStyle w:val="Normal"/>
              <w:spacing w:before="0" w:after="60"/>
              <w:jc w:val="center"/>
              <w:rPr>
                <w:lang w:val="de-DE"/>
              </w:rPr>
            </w:pPr>
            <w:r>
              <w:rPr>
                <w:b/>
                <w:color w:val="FFFFFF"/>
                <w:sz w:val="22"/>
                <w:lang w:val="de-DE"/>
              </w:rPr>
              <w:t>Wird hier tatsächlich eine politische Aussage kritisiert –</w:t>
            </w:r>
          </w:p>
          <w:p>
            <w:pPr>
              <w:pStyle w:val="Normal"/>
              <w:spacing w:before="0" w:after="100"/>
              <w:jc w:val="center"/>
              <w:rPr>
                <w:lang w:val="de-DE"/>
              </w:rPr>
            </w:pPr>
            <w:r>
              <w:rPr>
                <w:b/>
                <w:color w:val="FFFFFF"/>
                <w:sz w:val="22"/>
                <w:lang w:val="de-DE"/>
              </w:rPr>
              <w:t>oder werden Menschen aufgrund einer zugeschriebenen Position mit gemeinsamen Eigenschaften versehen?</w:t>
            </w:r>
          </w:p>
          <w:p>
            <w:pPr>
              <w:pStyle w:val="Normal"/>
              <w:spacing w:before="0" w:after="0"/>
              <w:jc w:val="center"/>
              <w:rPr>
                <w:lang w:val="de-DE"/>
              </w:rPr>
            </w:pPr>
            <w:r>
              <w:rPr>
                <w:color w:val="DDE7EE"/>
                <w:sz w:val="17"/>
                <w:lang w:val="de-DE"/>
              </w:rPr>
              <w:t>Wer diese Verschiebung erkennt, kann politische Kritik und pauschale Gruppenabwertung leichter auseinanderhalten.</w:t>
            </w:r>
          </w:p>
        </w:tc>
      </w:tr>
    </w:tbl>
    <w:p>
      <w:pPr>
        <w:pStyle w:val="Normal"/>
        <w:keepLines/>
        <w:spacing w:before="160" w:after="60"/>
        <w:rPr>
          <w:b/>
          <w:color w:val="233B53"/>
          <w:sz w:val="17"/>
        </w:rPr>
      </w:pPr>
      <w:r>
        <w:rPr>
          <w:lang w:val="de-DE"/>
        </w:rPr>
      </w:r>
    </w:p>
    <w:p>
      <w:pPr>
        <w:pStyle w:val="Normal"/>
        <w:spacing w:before="160" w:after="60"/>
        <w:rPr>
          <w:b/>
          <w:color w:val="233B53"/>
          <w:sz w:val="17"/>
        </w:rPr>
      </w:pPr>
      <w:r>
        <w:rPr>
          <w:lang w:val="de-DE"/>
        </w:rPr>
      </w:r>
    </w:p>
    <w:p>
      <w:pPr>
        <w:pStyle w:val="Normal"/>
        <w:spacing w:before="160" w:after="60"/>
        <w:rPr>
          <w:lang w:val="de-DE"/>
        </w:rPr>
      </w:pPr>
      <w:r>
        <w:rPr>
          <w:b/>
          <w:color w:val="233B53"/>
          <w:sz w:val="17"/>
          <w:lang w:val="de-DE"/>
        </w:rPr>
        <w:t>WARUM IST DAS RELEVANT?</w:t>
      </w:r>
    </w:p>
    <w:tbl>
      <w:tblPr>
        <w:tblW w:w="10263" w:type="dxa"/>
        <w:jc w:val="center"/>
        <w:tblInd w:w="0" w:type="dxa"/>
        <w:tblLayout w:type="fixed"/>
        <w:tblCellMar>
          <w:top w:w="115" w:type="dxa"/>
          <w:left w:w="125" w:type="dxa"/>
          <w:bottom w:w="110" w:type="dxa"/>
          <w:right w:w="125" w:type="dxa"/>
        </w:tblCellMar>
        <w:tblLook w:val="04a0" w:noHBand="0" w:noVBand="1" w:firstColumn="1" w:lastRow="0" w:lastColumn="0" w:firstRow="1"/>
      </w:tblPr>
      <w:tblGrid>
        <w:gridCol w:w="3421"/>
        <w:gridCol w:w="3421"/>
        <w:gridCol w:w="3421"/>
      </w:tblGrid>
      <w:tr>
        <w:trPr>
          <w:cantSplit w:val="true"/>
        </w:trPr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7F9FA"/>
          </w:tcPr>
          <w:p>
            <w:pPr>
              <w:pStyle w:val="Normal"/>
              <w:spacing w:before="0" w:after="40"/>
              <w:jc w:val="left"/>
              <w:rPr>
                <w:lang w:val="de-DE"/>
              </w:rPr>
            </w:pPr>
            <w:r>
              <w:rPr>
                <w:b/>
                <w:color w:val="233B53"/>
                <w:sz w:val="17"/>
                <w:lang w:val="de-DE"/>
              </w:rPr>
              <w:t>1  Homogenisierung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color w:val="1F252A"/>
                <w:sz w:val="15"/>
                <w:lang w:val="de-DE"/>
              </w:rPr>
              <w:t>Unterschiede zwischen einzelnen Menschen verschwinden hinter der zugeschriebenen Gruppe.</w:t>
            </w:r>
          </w:p>
        </w:tc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7F9FA"/>
          </w:tcPr>
          <w:p>
            <w:pPr>
              <w:pStyle w:val="Normal"/>
              <w:spacing w:before="0" w:after="40"/>
              <w:jc w:val="left"/>
              <w:rPr>
                <w:lang w:val="de-DE"/>
              </w:rPr>
            </w:pPr>
            <w:r>
              <w:rPr>
                <w:b/>
                <w:color w:val="233B53"/>
                <w:sz w:val="17"/>
                <w:lang w:val="de-DE"/>
              </w:rPr>
              <w:t>2  Anschlussfähigkeit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color w:val="1F252A"/>
                <w:sz w:val="15"/>
                <w:lang w:val="de-DE"/>
              </w:rPr>
              <w:t>Ist der „Menschentyp“ erst gesetzt, lassen sich weitere Abwertungen leichter anfügen.</w:t>
            </w:r>
          </w:p>
        </w:tc>
        <w:tc>
          <w:tcPr>
            <w:tcW w:w="3421" w:type="dxa"/>
            <w:tcBorders>
              <w:top w:val="single" w:sz="6" w:space="0" w:color="D5DEE4"/>
              <w:left w:val="single" w:sz="6" w:space="0" w:color="D5DEE4"/>
              <w:bottom w:val="single" w:sz="6" w:space="0" w:color="D5DEE4"/>
              <w:right w:val="single" w:sz="6" w:space="0" w:color="D5DEE4"/>
            </w:tcBorders>
            <w:shd w:fill="F7F9FA"/>
          </w:tcPr>
          <w:p>
            <w:pPr>
              <w:pStyle w:val="Normal"/>
              <w:spacing w:before="0" w:after="40"/>
              <w:jc w:val="left"/>
              <w:rPr>
                <w:lang w:val="de-DE"/>
              </w:rPr>
            </w:pPr>
            <w:r>
              <w:rPr>
                <w:b/>
                <w:color w:val="233B53"/>
                <w:sz w:val="17"/>
                <w:lang w:val="de-DE"/>
              </w:rPr>
              <w:t>3  Verschobene Debatte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color w:val="1F252A"/>
                <w:sz w:val="15"/>
                <w:lang w:val="de-DE"/>
              </w:rPr>
              <w:t>Nicht mehr Aussagen werden geprüft, sondern Menschen aufgrund eines Etiketts bewertet.</w:t>
            </w:r>
          </w:p>
        </w:tc>
      </w:tr>
      <w:tr>
        <w:trPr>
          <w:cantSplit w:val="true"/>
        </w:trPr>
        <w:tc>
          <w:tcPr>
            <w:tcW w:w="10263" w:type="dxa"/>
            <w:gridSpan w:val="3"/>
            <w:tcBorders>
              <w:left w:val="single" w:sz="14" w:space="0" w:color="2F6F73"/>
            </w:tcBorders>
            <w:shd w:fill="EEF5F3"/>
            <w:tcMar>
              <w:top w:w="95" w:type="dxa"/>
              <w:left w:w="150" w:type="dxa"/>
              <w:bottom w:w="95" w:type="dxa"/>
              <w:right w:w="150" w:type="dxa"/>
            </w:tcMar>
          </w:tcPr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color w:val="2F6F73"/>
                <w:sz w:val="16"/>
                <w:lang w:val="de-DE"/>
              </w:rPr>
              <w:t xml:space="preserve">LERNZIEL  </w:t>
            </w:r>
            <w:r>
              <w:rPr>
                <w:color w:val="1F252A"/>
                <w:sz w:val="16"/>
                <w:lang w:val="de-DE"/>
              </w:rPr>
              <w:t>Teilnehmende erkennen die Verschiebung von politischer Position zu pauschaler Zuschreibung und können Kritik von Gruppenabwertung unterscheiden.</w:t>
            </w:r>
          </w:p>
        </w:tc>
      </w:tr>
    </w:tbl>
    <w:p>
      <w:pPr>
        <w:pStyle w:val="Normal"/>
        <w:pBdr>
          <w:top w:val="single" w:sz="6" w:space="0" w:color="D5DEE4"/>
        </w:pBdr>
        <w:spacing w:before="140" w:after="0"/>
        <w:rPr>
          <w:lang w:val="de-DE"/>
        </w:rPr>
      </w:pPr>
      <w:r>
        <w:rPr>
          <w:b/>
          <w:color w:val="233B53"/>
          <w:sz w:val="14"/>
          <w:lang w:val="de-DE"/>
        </w:rPr>
        <w:t xml:space="preserve">DATENGRUNDLAGE  </w:t>
      </w:r>
      <w:r>
        <w:rPr>
          <w:color w:val="5D6870"/>
          <w:sz w:val="14"/>
          <w:lang w:val="de-DE"/>
        </w:rPr>
        <w:t>317 feindselig-abwertende Textkommentare aus einer dokumentierten Facebook-Kommentarspalte. Systematische Fallanalyse, keine repräsentative Untersuchung sozialer Medien. Mehrfachcodierungen einzelner Kommentare waren möglich.</w:t>
      </w:r>
    </w:p>
    <w:p>
      <w:pPr>
        <w:pStyle w:val="Normal"/>
        <w:rPr>
          <w:rFonts w:ascii="Liberation Sans" w:hAnsi="Liberation Sans"/>
          <w:b/>
          <w:i w:val="false"/>
          <w:i w:val="false"/>
          <w:color w:val="233B53"/>
          <w:sz w:val="43"/>
        </w:rPr>
      </w:pPr>
      <w:r>
        <w:rPr>
          <w:lang w:val="de-DE"/>
        </w:rPr>
      </w:r>
    </w:p>
    <w:p>
      <w:pPr>
        <w:pStyle w:val="Normal"/>
        <w:spacing w:before="180" w:after="20"/>
        <w:rPr>
          <w:lang w:val="de-DE"/>
        </w:rPr>
      </w:pPr>
      <w:r>
        <w:rPr>
          <w:b/>
          <w:i w:val="false"/>
          <w:color w:val="233B53"/>
          <w:sz w:val="43"/>
          <w:lang w:val="de-DE"/>
        </w:rPr>
        <w:t>Muster erkennen</w:t>
      </w:r>
    </w:p>
    <w:p>
      <w:pPr>
        <w:pStyle w:val="Normal"/>
        <w:keepLines/>
        <w:spacing w:before="0" w:after="120"/>
        <w:rPr>
          <w:lang w:val="de-DE"/>
        </w:rPr>
      </w:pPr>
      <w:r>
        <w:rPr>
          <w:b/>
          <w:i w:val="false"/>
          <w:color w:val="2F6F73"/>
          <w:sz w:val="22"/>
          <w:lang w:val="de-DE"/>
        </w:rPr>
        <w:t>Originalbeispiele: vom politischen Etikett zur Abwertung</w:t>
      </w:r>
    </w:p>
    <w:tbl>
      <w:tblPr>
        <w:tblW w:w="10263" w:type="dxa"/>
        <w:jc w:val="center"/>
        <w:tblInd w:w="0" w:type="dxa"/>
        <w:tblLayout w:type="fixed"/>
        <w:tblCellMar>
          <w:top w:w="115" w:type="dxa"/>
          <w:left w:w="165" w:type="dxa"/>
          <w:bottom w:w="110" w:type="dxa"/>
          <w:right w:w="165" w:type="dxa"/>
        </w:tblCellMar>
        <w:tblLook w:val="04a0" w:noHBand="0" w:noVBand="1" w:firstColumn="1" w:lastRow="0" w:lastColumn="0" w:firstRow="1"/>
      </w:tblPr>
      <w:tblGrid>
        <w:gridCol w:w="10263"/>
      </w:tblGrid>
      <w:tr>
        <w:trPr>
          <w:cantSplit w:val="true"/>
        </w:trPr>
        <w:tc>
          <w:tcPr>
            <w:tcW w:w="10263" w:type="dxa"/>
            <w:tcBorders>
              <w:left w:val="single" w:sz="16" w:space="0" w:color="2F6F73"/>
            </w:tcBorders>
            <w:shd w:fill="EAF1F6"/>
          </w:tcPr>
          <w:p>
            <w:pPr>
              <w:pStyle w:val="Normal"/>
              <w:spacing w:before="0" w:after="40"/>
              <w:rPr>
                <w:lang w:val="de-DE"/>
              </w:rPr>
            </w:pPr>
            <w:r>
              <w:rPr>
                <w:b/>
                <w:i w:val="false"/>
                <w:color w:val="2F6F73"/>
                <w:sz w:val="16"/>
                <w:lang w:val="de-DE"/>
              </w:rPr>
              <w:t>HINWEIS ZUR ARBEIT MIT DEN BEISPIELEN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 w:val="false"/>
                <w:i w:val="false"/>
                <w:color w:val="1F252A"/>
                <w:sz w:val="17"/>
                <w:lang w:val="de-DE"/>
              </w:rPr>
              <w:t>Die folgenden Originalkommentare sind anonymisiert. Sie enthalten abwertende Sprache und im letzten Beispiel eine Gewaltfantasie. Die Zitate werden ausschließlich zur Mustererkennung gezeigt; die Originalschreibweise ist weitgehend beibehalten.</w:t>
            </w:r>
          </w:p>
        </w:tc>
      </w:tr>
    </w:tbl>
    <w:p>
      <w:pPr>
        <w:pStyle w:val="Normal"/>
        <w:keepLines/>
        <w:spacing w:before="120" w:after="60"/>
        <w:rPr>
          <w:lang w:val="de-DE"/>
        </w:rPr>
      </w:pPr>
      <w:r>
        <w:rPr>
          <w:b/>
          <w:i w:val="false"/>
          <w:color w:val="233B53"/>
          <w:sz w:val="16"/>
          <w:lang w:val="de-DE"/>
        </w:rPr>
        <w:t>FÜNF BEISPIELE AUS DEM KORPUS</w:t>
      </w:r>
    </w:p>
    <w:tbl>
      <w:tblPr>
        <w:tblW w:w="10262" w:type="dxa"/>
        <w:jc w:val="center"/>
        <w:tblInd w:w="0" w:type="dxa"/>
        <w:tblLayout w:type="fixed"/>
        <w:tblCellMar>
          <w:top w:w="110" w:type="dxa"/>
          <w:left w:w="125" w:type="dxa"/>
          <w:bottom w:w="100" w:type="dxa"/>
          <w:right w:w="100" w:type="dxa"/>
        </w:tblCellMar>
        <w:tblLook w:val="04a0" w:noHBand="0" w:noVBand="1" w:firstColumn="1" w:lastRow="0" w:lastColumn="0" w:firstRow="1"/>
      </w:tblPr>
      <w:tblGrid>
        <w:gridCol w:w="2685"/>
        <w:gridCol w:w="7576"/>
      </w:tblGrid>
      <w:tr>
        <w:trPr>
          <w:cantSplit w:val="true"/>
        </w:trPr>
        <w:tc>
          <w:tcPr>
            <w:tcW w:w="2685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EF5F3"/>
            <w:vAlign w:val="center"/>
          </w:tcPr>
          <w:p>
            <w:pPr>
              <w:pStyle w:val="Normal"/>
              <w:spacing w:before="0" w:after="20"/>
              <w:rPr>
                <w:lang w:val="de-DE"/>
              </w:rPr>
            </w:pPr>
            <w:r>
              <w:rPr>
                <w:b/>
                <w:i w:val="false"/>
                <w:color w:val="2F6F73"/>
                <w:sz w:val="15"/>
                <w:lang w:val="de-DE"/>
              </w:rPr>
              <w:t>NIEDRIGE INTENSITÄT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233B53"/>
                <w:sz w:val="18"/>
                <w:lang w:val="de-DE"/>
              </w:rPr>
              <w:t>STUFE 1</w:t>
            </w:r>
          </w:p>
        </w:tc>
        <w:tc>
          <w:tcPr>
            <w:tcW w:w="7576" w:type="dxa"/>
            <w:tcBorders>
              <w:top w:val="single" w:sz="4" w:space="0" w:color="D5DEE4"/>
              <w:left w:val="single" w:sz="4" w:space="0" w:color="D5DEE4"/>
              <w:bottom w:val="single" w:sz="4" w:space="0" w:color="D5DEE4"/>
              <w:right w:val="single" w:sz="4" w:space="0" w:color="D5DEE4"/>
            </w:tcBorders>
            <w:shd w:fill="EEF5F3"/>
            <w:tcMar>
              <w:top w:w="105" w:type="dxa"/>
              <w:left w:w="155" w:type="dxa"/>
              <w:right w:w="155" w:type="dxa"/>
            </w:tcMar>
            <w:vAlign w:val="center"/>
          </w:tcPr>
          <w:p>
            <w:pPr>
              <w:pStyle w:val="Normal"/>
              <w:spacing w:before="0" w:after="60"/>
              <w:rPr>
                <w:lang w:val="de-DE"/>
              </w:rPr>
            </w:pPr>
            <w:r>
              <w:rPr>
                <w:b/>
                <w:i w:val="false"/>
                <w:color w:val="1F252A"/>
                <w:sz w:val="20"/>
                <w:lang w:val="de-DE"/>
              </w:rPr>
              <w:t>„</w:t>
            </w:r>
            <w:r>
              <w:rPr>
                <w:b/>
                <w:i w:val="false"/>
                <w:color w:val="1F252A"/>
                <w:sz w:val="20"/>
                <w:lang w:val="de-DE"/>
              </w:rPr>
              <w:t>Typische Systemlinge in 2026..“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2F6F73"/>
                <w:sz w:val="16"/>
                <w:lang w:val="de-DE"/>
              </w:rPr>
              <w:t xml:space="preserve">Muster: </w:t>
            </w:r>
            <w:r>
              <w:rPr>
                <w:b w:val="false"/>
                <w:i w:val="false"/>
                <w:color w:val="1F252A"/>
                <w:sz w:val="16"/>
                <w:lang w:val="de-DE"/>
              </w:rPr>
              <w:t>Das Etikett „Systemlinge“ setzt einen vermeintlich festen Menschentyp, ohne eine konkrete Aussage oder Handlung zu benennen.</w:t>
            </w:r>
          </w:p>
        </w:tc>
      </w:tr>
    </w:tbl>
    <w:p>
      <w:pPr>
        <w:pStyle w:val="Normal"/>
        <w:keepLines/>
        <w:spacing w:before="0" w:after="20"/>
        <w:rPr>
          <w:lang w:val="de-DE"/>
        </w:rPr>
      </w:pPr>
      <w:r>
        <w:rPr>
          <w:lang w:val="de-DE"/>
        </w:rPr>
      </w:r>
    </w:p>
    <w:tbl>
      <w:tblPr>
        <w:tblW w:w="10262" w:type="dxa"/>
        <w:jc w:val="center"/>
        <w:tblInd w:w="0" w:type="dxa"/>
        <w:tblLayout w:type="fixed"/>
        <w:tblCellMar>
          <w:top w:w="110" w:type="dxa"/>
          <w:left w:w="125" w:type="dxa"/>
          <w:bottom w:w="100" w:type="dxa"/>
          <w:right w:w="100" w:type="dxa"/>
        </w:tblCellMar>
        <w:tblLook w:val="04a0" w:noHBand="0" w:noVBand="1" w:firstColumn="1" w:lastRow="0" w:lastColumn="0" w:firstRow="1"/>
      </w:tblPr>
      <w:tblGrid>
        <w:gridCol w:w="2685"/>
        <w:gridCol w:w="7576"/>
      </w:tblGrid>
      <w:tr>
        <w:trPr>
          <w:cantSplit w:val="true"/>
        </w:trPr>
        <w:tc>
          <w:tcPr>
            <w:tcW w:w="2685" w:type="dxa"/>
            <w:tcBorders>
              <w:top w:val="single" w:sz="4" w:space="0" w:color="D5DEE4"/>
              <w:left w:val="single" w:sz="16" w:space="0" w:color="2F6F73"/>
              <w:bottom w:val="single" w:sz="4" w:space="0" w:color="D5DEE4"/>
              <w:right w:val="single" w:sz="4" w:space="0" w:color="D5DEE4"/>
            </w:tcBorders>
            <w:shd w:fill="EEF5F3"/>
            <w:vAlign w:val="center"/>
          </w:tcPr>
          <w:p>
            <w:pPr>
              <w:pStyle w:val="Normal"/>
              <w:spacing w:before="0" w:after="20"/>
              <w:rPr>
                <w:lang w:val="de-DE"/>
              </w:rPr>
            </w:pPr>
            <w:r>
              <w:rPr>
                <w:b/>
                <w:i w:val="false"/>
                <w:color w:val="2F6F73"/>
                <w:sz w:val="15"/>
                <w:lang w:val="de-DE"/>
              </w:rPr>
              <w:t>NIEDRIGE INTENSITÄT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233B53"/>
                <w:sz w:val="18"/>
                <w:lang w:val="de-DE"/>
              </w:rPr>
              <w:t>STUFE 1</w:t>
            </w:r>
          </w:p>
        </w:tc>
        <w:tc>
          <w:tcPr>
            <w:tcW w:w="7576" w:type="dxa"/>
            <w:tcBorders>
              <w:top w:val="single" w:sz="4" w:space="0" w:color="D5DEE4"/>
              <w:left w:val="single" w:sz="4" w:space="0" w:color="D5DEE4"/>
              <w:bottom w:val="single" w:sz="4" w:space="0" w:color="D5DEE4"/>
              <w:right w:val="single" w:sz="4" w:space="0" w:color="D5DEE4"/>
            </w:tcBorders>
            <w:shd w:fill="EEF5F3"/>
            <w:tcMar>
              <w:top w:w="105" w:type="dxa"/>
              <w:left w:w="155" w:type="dxa"/>
              <w:right w:w="155" w:type="dxa"/>
            </w:tcMar>
            <w:vAlign w:val="center"/>
          </w:tcPr>
          <w:p>
            <w:pPr>
              <w:pStyle w:val="Normal"/>
              <w:spacing w:before="0" w:after="60"/>
              <w:rPr>
                <w:lang w:val="de-DE"/>
              </w:rPr>
            </w:pPr>
            <w:r>
              <w:rPr>
                <w:b/>
                <w:i w:val="false"/>
                <w:color w:val="1F252A"/>
                <w:sz w:val="20"/>
                <w:lang w:val="de-DE"/>
              </w:rPr>
              <w:t>„</w:t>
            </w:r>
            <w:r>
              <w:rPr>
                <w:b/>
                <w:i w:val="false"/>
                <w:color w:val="1F252A"/>
                <w:sz w:val="20"/>
                <w:lang w:val="de-DE"/>
              </w:rPr>
              <w:t>Keine andere Meinung zu lassen. Typisch für euch Linke.“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2F6F73"/>
                <w:sz w:val="16"/>
                <w:lang w:val="de-DE"/>
              </w:rPr>
              <w:t xml:space="preserve">Muster: </w:t>
            </w:r>
            <w:r>
              <w:rPr>
                <w:b w:val="false"/>
                <w:i w:val="false"/>
                <w:color w:val="1F252A"/>
                <w:sz w:val="16"/>
                <w:lang w:val="de-DE"/>
              </w:rPr>
              <w:t>Ein einzelner Vorwurf wird über „typisch“ auf eine politische Gruppe verallgemeinert: Aus Verhalten wird eine zugeschriebene Gruppeneigenschaft.</w:t>
            </w:r>
          </w:p>
        </w:tc>
      </w:tr>
    </w:tbl>
    <w:p>
      <w:pPr>
        <w:pStyle w:val="Normal"/>
        <w:keepLines/>
        <w:spacing w:before="0" w:after="20"/>
        <w:rPr>
          <w:lang w:val="de-DE"/>
        </w:rPr>
      </w:pPr>
      <w:r>
        <w:rPr>
          <w:lang w:val="de-DE"/>
        </w:rPr>
      </w:r>
    </w:p>
    <w:tbl>
      <w:tblPr>
        <w:tblW w:w="10262" w:type="dxa"/>
        <w:jc w:val="center"/>
        <w:tblInd w:w="0" w:type="dxa"/>
        <w:tblLayout w:type="fixed"/>
        <w:tblCellMar>
          <w:top w:w="110" w:type="dxa"/>
          <w:left w:w="125" w:type="dxa"/>
          <w:bottom w:w="100" w:type="dxa"/>
          <w:right w:w="100" w:type="dxa"/>
        </w:tblCellMar>
        <w:tblLook w:val="04a0" w:noHBand="0" w:noVBand="1" w:firstColumn="1" w:lastRow="0" w:lastColumn="0" w:firstRow="1"/>
      </w:tblPr>
      <w:tblGrid>
        <w:gridCol w:w="4215"/>
        <w:gridCol w:w="6046"/>
      </w:tblGrid>
      <w:tr>
        <w:trPr>
          <w:cantSplit w:val="true"/>
        </w:trPr>
        <w:tc>
          <w:tcPr>
            <w:tcW w:w="4215" w:type="dxa"/>
            <w:tcBorders>
              <w:top w:val="single" w:sz="4" w:space="0" w:color="D5DEE4"/>
              <w:left w:val="single" w:sz="16" w:space="0" w:color="7B673E"/>
              <w:bottom w:val="single" w:sz="4" w:space="0" w:color="D5DEE4"/>
              <w:right w:val="single" w:sz="4" w:space="0" w:color="D5DEE4"/>
            </w:tcBorders>
            <w:shd w:fill="F6F2E8"/>
            <w:vAlign w:val="center"/>
          </w:tcPr>
          <w:p>
            <w:pPr>
              <w:pStyle w:val="Normal"/>
              <w:spacing w:before="0" w:after="20"/>
              <w:rPr>
                <w:lang w:val="de-DE"/>
              </w:rPr>
            </w:pPr>
            <w:r>
              <w:rPr>
                <w:b/>
                <w:i w:val="false"/>
                <w:color w:val="7B673E"/>
                <w:sz w:val="15"/>
                <w:lang w:val="de-DE"/>
              </w:rPr>
              <w:t>MITTLERE INTENSITÄT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233B53"/>
                <w:sz w:val="18"/>
                <w:lang w:val="de-DE"/>
              </w:rPr>
              <w:t>STUFE 2</w:t>
            </w:r>
          </w:p>
        </w:tc>
        <w:tc>
          <w:tcPr>
            <w:tcW w:w="6046" w:type="dxa"/>
            <w:tcBorders>
              <w:top w:val="single" w:sz="4" w:space="0" w:color="D5DEE4"/>
              <w:left w:val="single" w:sz="4" w:space="0" w:color="D5DEE4"/>
              <w:bottom w:val="single" w:sz="4" w:space="0" w:color="D5DEE4"/>
              <w:right w:val="single" w:sz="4" w:space="0" w:color="D5DEE4"/>
            </w:tcBorders>
            <w:shd w:fill="F6F2E8"/>
            <w:tcMar>
              <w:top w:w="105" w:type="dxa"/>
              <w:left w:w="155" w:type="dxa"/>
              <w:right w:w="155" w:type="dxa"/>
            </w:tcMar>
            <w:vAlign w:val="center"/>
          </w:tcPr>
          <w:p>
            <w:pPr>
              <w:pStyle w:val="Normal"/>
              <w:spacing w:before="0" w:after="60"/>
              <w:rPr>
                <w:lang w:val="de-DE"/>
              </w:rPr>
            </w:pPr>
            <w:r>
              <w:rPr>
                <w:b/>
                <w:i w:val="false"/>
                <w:color w:val="1F252A"/>
                <w:sz w:val="20"/>
                <w:lang w:val="de-DE"/>
              </w:rPr>
              <w:t>„</w:t>
            </w:r>
            <w:r>
              <w:rPr>
                <w:b/>
                <w:i w:val="false"/>
                <w:color w:val="1F252A"/>
                <w:sz w:val="20"/>
                <w:lang w:val="de-DE"/>
              </w:rPr>
              <w:t>Dieser arbeitsscheue Linksfaschistenhaufen“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7B673E"/>
                <w:sz w:val="16"/>
                <w:lang w:val="de-DE"/>
              </w:rPr>
              <w:t xml:space="preserve">Muster: </w:t>
            </w:r>
            <w:r>
              <w:rPr>
                <w:b w:val="false"/>
                <w:i w:val="false"/>
                <w:color w:val="1F252A"/>
                <w:sz w:val="16"/>
                <w:lang w:val="de-DE"/>
              </w:rPr>
              <w:t>Politische Markierung wird mit einer sozialen Eigenschaft verknüpft. „Arbeitsscheu“ wird aus der Gruppenzuordnung abgeleitet, nicht aus beobachtbarem Verhalten.</w:t>
            </w:r>
          </w:p>
        </w:tc>
      </w:tr>
    </w:tbl>
    <w:p>
      <w:pPr>
        <w:pStyle w:val="Normal"/>
        <w:keepLines/>
        <w:spacing w:before="0" w:after="20"/>
        <w:rPr>
          <w:lang w:val="de-DE"/>
        </w:rPr>
      </w:pPr>
      <w:r>
        <w:rPr>
          <w:lang w:val="de-DE"/>
        </w:rPr>
      </w:r>
    </w:p>
    <w:tbl>
      <w:tblPr>
        <w:tblW w:w="10262" w:type="dxa"/>
        <w:jc w:val="center"/>
        <w:tblInd w:w="0" w:type="dxa"/>
        <w:tblLayout w:type="fixed"/>
        <w:tblCellMar>
          <w:top w:w="110" w:type="dxa"/>
          <w:left w:w="125" w:type="dxa"/>
          <w:bottom w:w="100" w:type="dxa"/>
          <w:right w:w="100" w:type="dxa"/>
        </w:tblCellMar>
        <w:tblLook w:val="04a0" w:noHBand="0" w:noVBand="1" w:firstColumn="1" w:lastRow="0" w:lastColumn="0" w:firstRow="1"/>
      </w:tblPr>
      <w:tblGrid>
        <w:gridCol w:w="4215"/>
        <w:gridCol w:w="6046"/>
      </w:tblGrid>
      <w:tr>
        <w:trPr>
          <w:cantSplit w:val="true"/>
        </w:trPr>
        <w:tc>
          <w:tcPr>
            <w:tcW w:w="4215" w:type="dxa"/>
            <w:tcBorders>
              <w:top w:val="single" w:sz="4" w:space="0" w:color="D5DEE4"/>
              <w:left w:val="single" w:sz="16" w:space="0" w:color="7B673E"/>
              <w:bottom w:val="single" w:sz="4" w:space="0" w:color="D5DEE4"/>
              <w:right w:val="single" w:sz="4" w:space="0" w:color="D5DEE4"/>
            </w:tcBorders>
            <w:shd w:fill="F6F2E8"/>
            <w:vAlign w:val="center"/>
          </w:tcPr>
          <w:p>
            <w:pPr>
              <w:pStyle w:val="Normal"/>
              <w:spacing w:before="0" w:after="20"/>
              <w:rPr>
                <w:lang w:val="de-DE"/>
              </w:rPr>
            </w:pPr>
            <w:r>
              <w:rPr>
                <w:b/>
                <w:i w:val="false"/>
                <w:color w:val="7B673E"/>
                <w:sz w:val="15"/>
                <w:lang w:val="de-DE"/>
              </w:rPr>
              <w:t>MITTLERE INTENSITÄT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233B53"/>
                <w:sz w:val="18"/>
                <w:lang w:val="de-DE"/>
              </w:rPr>
              <w:t>STUFE 3</w:t>
            </w:r>
          </w:p>
        </w:tc>
        <w:tc>
          <w:tcPr>
            <w:tcW w:w="6046" w:type="dxa"/>
            <w:tcBorders>
              <w:top w:val="single" w:sz="4" w:space="0" w:color="D5DEE4"/>
              <w:left w:val="single" w:sz="4" w:space="0" w:color="D5DEE4"/>
              <w:bottom w:val="single" w:sz="4" w:space="0" w:color="D5DEE4"/>
              <w:right w:val="single" w:sz="4" w:space="0" w:color="D5DEE4"/>
            </w:tcBorders>
            <w:shd w:fill="F6F2E8"/>
            <w:tcMar>
              <w:top w:w="105" w:type="dxa"/>
              <w:left w:w="155" w:type="dxa"/>
              <w:right w:w="155" w:type="dxa"/>
            </w:tcMar>
            <w:vAlign w:val="center"/>
          </w:tcPr>
          <w:p>
            <w:pPr>
              <w:pStyle w:val="Normal"/>
              <w:spacing w:before="0" w:after="60"/>
              <w:rPr>
                <w:lang w:val="de-DE"/>
              </w:rPr>
            </w:pPr>
            <w:r>
              <w:rPr>
                <w:b/>
                <w:i w:val="false"/>
                <w:color w:val="1F252A"/>
                <w:sz w:val="20"/>
                <w:lang w:val="de-DE"/>
              </w:rPr>
              <w:t>„</w:t>
            </w:r>
            <w:r>
              <w:rPr>
                <w:b/>
                <w:i w:val="false"/>
                <w:color w:val="1F252A"/>
                <w:sz w:val="20"/>
                <w:lang w:val="de-DE"/>
              </w:rPr>
              <w:t>Linke Zecken“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7B673E"/>
                <w:sz w:val="16"/>
                <w:lang w:val="de-DE"/>
              </w:rPr>
              <w:t xml:space="preserve">Muster: </w:t>
            </w:r>
            <w:r>
              <w:rPr>
                <w:b w:val="false"/>
                <w:i w:val="false"/>
                <w:color w:val="1F252A"/>
                <w:sz w:val="16"/>
                <w:lang w:val="de-DE"/>
              </w:rPr>
              <w:t>Das politische Etikett wird direkt mit einer Schädlingsmetapher verschmolzen. Die politische Fremdgruppe wird sprachlich entmenschlicht.</w:t>
            </w:r>
          </w:p>
        </w:tc>
      </w:tr>
    </w:tbl>
    <w:p>
      <w:pPr>
        <w:pStyle w:val="Normal"/>
        <w:keepLines/>
        <w:spacing w:before="0" w:after="20"/>
        <w:rPr>
          <w:lang w:val="de-DE"/>
        </w:rPr>
      </w:pPr>
      <w:r>
        <w:rPr>
          <w:lang w:val="de-DE"/>
        </w:rPr>
      </w:r>
    </w:p>
    <w:tbl>
      <w:tblPr>
        <w:tblW w:w="10263" w:type="dxa"/>
        <w:jc w:val="center"/>
        <w:tblInd w:w="0" w:type="dxa"/>
        <w:tblLayout w:type="fixed"/>
        <w:tblCellMar>
          <w:top w:w="110" w:type="dxa"/>
          <w:left w:w="125" w:type="dxa"/>
          <w:bottom w:w="100" w:type="dxa"/>
          <w:right w:w="100" w:type="dxa"/>
        </w:tblCellMar>
        <w:tblLook w:val="04a0" w:noHBand="0" w:noVBand="1" w:firstColumn="1" w:lastRow="0" w:lastColumn="0" w:firstRow="1"/>
      </w:tblPr>
      <w:tblGrid>
        <w:gridCol w:w="5131"/>
        <w:gridCol w:w="5131"/>
      </w:tblGrid>
      <w:tr>
        <w:trPr>
          <w:cantSplit w:val="true"/>
        </w:trPr>
        <w:tc>
          <w:tcPr>
            <w:tcW w:w="5131" w:type="dxa"/>
            <w:tcBorders>
              <w:top w:val="single" w:sz="4" w:space="0" w:color="D5DEE4"/>
              <w:left w:val="single" w:sz="16" w:space="0" w:color="87414B"/>
              <w:bottom w:val="single" w:sz="4" w:space="0" w:color="D5DEE4"/>
              <w:right w:val="single" w:sz="4" w:space="0" w:color="D5DEE4"/>
            </w:tcBorders>
            <w:shd w:fill="F7ECEE"/>
            <w:vAlign w:val="center"/>
          </w:tcPr>
          <w:p>
            <w:pPr>
              <w:pStyle w:val="Normal"/>
              <w:spacing w:before="0" w:after="20"/>
              <w:rPr>
                <w:lang w:val="de-DE"/>
              </w:rPr>
            </w:pPr>
            <w:r>
              <w:rPr>
                <w:b/>
                <w:i w:val="false"/>
                <w:color w:val="87414B"/>
                <w:sz w:val="15"/>
                <w:lang w:val="de-DE"/>
              </w:rPr>
              <w:t>SEHR HOHE INTENSITÄT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233B53"/>
                <w:sz w:val="18"/>
                <w:lang w:val="de-DE"/>
              </w:rPr>
              <w:t>STUFE 4</w:t>
            </w:r>
          </w:p>
        </w:tc>
        <w:tc>
          <w:tcPr>
            <w:tcW w:w="5131" w:type="dxa"/>
            <w:tcBorders>
              <w:top w:val="single" w:sz="4" w:space="0" w:color="D5DEE4"/>
              <w:left w:val="single" w:sz="4" w:space="0" w:color="D5DEE4"/>
              <w:bottom w:val="single" w:sz="4" w:space="0" w:color="D5DEE4"/>
              <w:right w:val="single" w:sz="4" w:space="0" w:color="D5DEE4"/>
            </w:tcBorders>
            <w:shd w:fill="F7ECEE"/>
            <w:tcMar>
              <w:top w:w="105" w:type="dxa"/>
              <w:left w:w="155" w:type="dxa"/>
              <w:right w:w="155" w:type="dxa"/>
            </w:tcMar>
            <w:vAlign w:val="center"/>
          </w:tcPr>
          <w:p>
            <w:pPr>
              <w:pStyle w:val="Normal"/>
              <w:spacing w:before="0" w:after="60"/>
              <w:rPr>
                <w:lang w:val="de-DE"/>
              </w:rPr>
            </w:pPr>
            <w:r>
              <w:rPr>
                <w:b/>
                <w:i w:val="false"/>
                <w:color w:val="1F252A"/>
                <w:sz w:val="20"/>
                <w:lang w:val="de-DE"/>
              </w:rPr>
              <w:t>„</w:t>
            </w:r>
            <w:r>
              <w:rPr>
                <w:b/>
                <w:i w:val="false"/>
                <w:color w:val="1F252A"/>
                <w:sz w:val="20"/>
                <w:lang w:val="de-DE"/>
              </w:rPr>
              <w:t>Zecken schade das da kein lkw durch gefahren ist“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87414B"/>
                <w:sz w:val="16"/>
                <w:lang w:val="de-DE"/>
              </w:rPr>
              <w:t xml:space="preserve">Muster: </w:t>
            </w:r>
            <w:r>
              <w:rPr>
                <w:b w:val="false"/>
                <w:i w:val="false"/>
                <w:color w:val="1F252A"/>
                <w:sz w:val="16"/>
                <w:lang w:val="de-DE"/>
              </w:rPr>
              <w:t>Entmenschlichende Gruppenbezeichnung und Gewaltwunsch stehen unmittelbar nebeneinander. Damit wird die Schwelle von Abwertung zur Gewaltfantasie überschritten.</w:t>
            </w:r>
          </w:p>
        </w:tc>
      </w:tr>
    </w:tbl>
    <w:p>
      <w:pPr>
        <w:pStyle w:val="Normal"/>
        <w:keepLines/>
        <w:spacing w:before="0" w:after="20"/>
        <w:rPr>
          <w:lang w:val="de-DE"/>
        </w:rPr>
      </w:pPr>
      <w:r>
        <w:rPr>
          <w:lang w:val="de-DE"/>
        </w:rPr>
      </w:r>
    </w:p>
    <w:p>
      <w:pPr>
        <w:pStyle w:val="Normal"/>
        <w:keepLines/>
        <w:spacing w:before="100" w:after="60"/>
        <w:rPr>
          <w:rFonts w:ascii="Liberation Sans" w:hAnsi="Liberation Sans"/>
          <w:b/>
          <w:i w:val="false"/>
          <w:i w:val="false"/>
          <w:color w:val="233B53"/>
          <w:sz w:val="16"/>
        </w:rPr>
      </w:pPr>
      <w:r>
        <w:rPr>
          <w:lang w:val="de-DE"/>
        </w:rPr>
      </w:r>
    </w:p>
    <w:p>
      <w:pPr>
        <w:pStyle w:val="Normal"/>
        <w:spacing w:before="100" w:after="60"/>
        <w:rPr>
          <w:lang w:val="de-DE"/>
        </w:rPr>
      </w:pPr>
      <w:r>
        <w:rPr>
          <w:b/>
          <w:i w:val="false"/>
          <w:color w:val="233B53"/>
          <w:sz w:val="16"/>
          <w:lang w:val="de-DE"/>
        </w:rPr>
        <w:t>ARBEITSAUFTRAG</w:t>
      </w:r>
    </w:p>
    <w:tbl>
      <w:tblPr>
        <w:tblW w:w="10263" w:type="dxa"/>
        <w:jc w:val="center"/>
        <w:tblInd w:w="0" w:type="dxa"/>
        <w:tblLayout w:type="fixed"/>
        <w:tblCellMar>
          <w:top w:w="120" w:type="dxa"/>
          <w:left w:w="170" w:type="dxa"/>
          <w:bottom w:w="115" w:type="dxa"/>
          <w:right w:w="170" w:type="dxa"/>
        </w:tblCellMar>
        <w:tblLook w:val="04a0" w:noHBand="0" w:noVBand="1" w:firstColumn="1" w:lastRow="0" w:lastColumn="0" w:firstRow="1"/>
      </w:tblPr>
      <w:tblGrid>
        <w:gridCol w:w="10263"/>
      </w:tblGrid>
      <w:tr>
        <w:trPr>
          <w:cantSplit w:val="true"/>
        </w:trPr>
        <w:tc>
          <w:tcPr>
            <w:tcW w:w="10263" w:type="dxa"/>
            <w:tcBorders/>
            <w:shd w:fill="233B53"/>
          </w:tcPr>
          <w:p>
            <w:pPr>
              <w:pStyle w:val="Normal"/>
              <w:spacing w:before="0" w:after="60"/>
              <w:rPr>
                <w:lang w:val="de-DE"/>
              </w:rPr>
            </w:pPr>
            <w:r>
              <w:rPr>
                <w:b/>
                <w:i w:val="false"/>
                <w:color w:val="FFFFFF"/>
                <w:sz w:val="18"/>
                <w:lang w:val="de-DE"/>
              </w:rPr>
              <w:t>1  Welche Wörter markieren eine politische oder soziale Gruppe?</w:t>
            </w:r>
          </w:p>
          <w:p>
            <w:pPr>
              <w:pStyle w:val="Normal"/>
              <w:spacing w:before="0" w:after="60"/>
              <w:rPr>
                <w:lang w:val="de-DE"/>
              </w:rPr>
            </w:pPr>
            <w:r>
              <w:rPr>
                <w:b/>
                <w:i w:val="false"/>
                <w:color w:val="FFFFFF"/>
                <w:sz w:val="18"/>
                <w:lang w:val="de-DE"/>
              </w:rPr>
              <w:t>2  Welche zusätzlichen Eigenschaften werden dieser Gruppe zugeschrieben?</w:t>
            </w:r>
          </w:p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FFFFFF"/>
                <w:sz w:val="18"/>
                <w:lang w:val="de-DE"/>
              </w:rPr>
              <w:t>3  Was verändert sich vom ersten bis zum letzten Beispiel – und wo findet keine Auseinandersetzung mit einer konkreten Position mehr statt?</w:t>
            </w:r>
          </w:p>
        </w:tc>
      </w:tr>
      <w:tr>
        <w:trPr>
          <w:cantSplit w:val="true"/>
        </w:trPr>
        <w:tc>
          <w:tcPr>
            <w:tcW w:w="10263" w:type="dxa"/>
            <w:tcBorders>
              <w:left w:val="single" w:sz="14" w:space="0" w:color="2F6F73"/>
            </w:tcBorders>
            <w:shd w:fill="EEF5F3"/>
            <w:tcMar>
              <w:top w:w="85" w:type="dxa"/>
              <w:left w:w="145" w:type="dxa"/>
              <w:bottom w:w="85" w:type="dxa"/>
              <w:right w:w="145" w:type="dxa"/>
            </w:tcMar>
          </w:tcPr>
          <w:p>
            <w:pPr>
              <w:pStyle w:val="Normal"/>
              <w:spacing w:before="0" w:after="0"/>
              <w:rPr>
                <w:lang w:val="de-DE"/>
              </w:rPr>
            </w:pPr>
            <w:r>
              <w:rPr>
                <w:b/>
                <w:i w:val="false"/>
                <w:color w:val="2F6F73"/>
                <w:sz w:val="15"/>
                <w:lang w:val="de-DE"/>
              </w:rPr>
              <w:t xml:space="preserve">LESESCHLÜSSEL  </w:t>
            </w:r>
            <w:r>
              <w:rPr>
                <w:b w:val="false"/>
                <w:i w:val="false"/>
                <w:color w:val="1F252A"/>
                <w:sz w:val="15"/>
                <w:lang w:val="de-DE"/>
              </w:rPr>
              <w:t>Achte auf die Abfolge: Gruppenzuordnung → Eigenschaftszuschreibung → Kollektivabwertung. Die Intensität kann steigen, der Grundmechanismus bleibt erkennbar.</w:t>
            </w:r>
          </w:p>
        </w:tc>
      </w:tr>
    </w:tbl>
    <w:p>
      <w:pPr>
        <w:pStyle w:val="Normal"/>
        <w:keepLines/>
        <w:pBdr>
          <w:top w:val="single" w:sz="6" w:space="0" w:color="D5DEE4"/>
        </w:pBdr>
        <w:spacing w:before="100" w:after="0"/>
        <w:rPr>
          <w:lang w:val="de-DE"/>
        </w:rPr>
      </w:pPr>
      <w:r>
        <w:rPr>
          <w:b/>
          <w:i w:val="false"/>
          <w:color w:val="233B53"/>
          <w:sz w:val="14"/>
          <w:lang w:val="de-DE"/>
        </w:rPr>
        <w:t xml:space="preserve">QUELLENHINWEIS  </w:t>
      </w:r>
      <w:r>
        <w:rPr>
          <w:b w:val="false"/>
          <w:i w:val="false"/>
          <w:color w:val="5D6870"/>
          <w:sz w:val="14"/>
          <w:lang w:val="de-DE"/>
        </w:rPr>
        <w:t>Anonymisierte Originalzitate aus dem dokumentierten Korpus. Die Intensitätsangaben folgen der im Arbeitsdatensatz verwendeten Eskalationsskala (1–5). Die Beispiele illustrieren Kommunikationsmuster und sind keine Aussagen über politische Gruppen insgesamt.</w:t>
      </w:r>
    </w:p>
    <w:sectPr>
      <w:headerReference w:type="default" r:id="rId2"/>
      <w:footerReference w:type="default" r:id="rId3"/>
      <w:type w:val="nextPage"/>
      <w:pgSz w:w="11906" w:h="16838"/>
      <w:pgMar w:left="822" w:right="822" w:gutter="0" w:header="709" w:top="1410" w:footer="652" w:bottom="111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b/>
        <w:bCs/>
        <w:sz w:val="16"/>
        <w:szCs w:val="16"/>
      </w:rPr>
    </w:pPr>
    <w:r>
      <w:rPr>
        <w:b/>
        <w:bCs/>
        <w:sz w:val="16"/>
        <w:szCs w:val="16"/>
      </w:rPr>
      <w:t>OER Material nach Lizenz: CC-NC-BY-SA - Merten Giesen 2026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before="0" w:after="120"/>
      <w:rPr>
        <w:b/>
        <w:bCs/>
        <w:sz w:val="24"/>
        <w:szCs w:val="24"/>
      </w:rPr>
    </w:pPr>
    <w:r>
      <w:rPr>
        <w:b/>
        <w:bCs/>
        <w:sz w:val="24"/>
        <w:szCs w:val="24"/>
      </w:rPr>
      <w:t>KOMMENTARSPALTEN RICHTIG LESEN 1/5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de-D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9" w:before="0" w:after="70"/>
      <w:jc w:val="left"/>
    </w:pPr>
    <w:rPr>
      <w:rFonts w:ascii="Liberation Sans" w:hAnsi="Liberation Sans" w:eastAsia="ＭＳ 明朝" w:cs=""/>
      <w:color w:val="1F252A"/>
      <w:kern w:val="0"/>
      <w:sz w:val="18"/>
      <w:szCs w:val="22"/>
      <w:lang w:val="de-DE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7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Verzeichnis">
    <w:name w:val="Verzeichnis"/>
    <w:basedOn w:val="Normal"/>
    <w:qFormat/>
    <w:pPr>
      <w:suppressLineNumbers/>
    </w:pPr>
    <w:rPr>
      <w:rFonts w:cs="FreeSans"/>
    </w:rPr>
  </w:style>
  <w:style w:type="paragraph" w:styleId="Kopf-Fuzeile">
    <w:name w:val="Kopf-/Fußzeile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de-DE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7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7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7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7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7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7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7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7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7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de-DE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berschrift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  <w:style w:type="numbering" w:styleId="KeineListe" w:default="1">
    <w:name w:val="Keine Liste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LibreOffice/24.2.7.2$Linux_X86_64 LibreOffice_project/420$Build-2</Application>
  <AppVersion>15.0000</AppVersion>
  <Pages>2</Pages>
  <Words>576</Words>
  <Characters>4211</Characters>
  <CharactersWithSpaces>4732</CharactersWithSpaces>
  <Paragraphs>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Merten Giesen</dc:creator>
  <dc:description>generated by python-docx</dc:description>
  <dc:language>de-DE</dc:language>
  <cp:lastModifiedBy/>
  <cp:lastPrinted>2026-08-28T12:45:10Z</cp:lastPrinted>
  <dcterms:modified xsi:type="dcterms:W3CDTF">2026-08-28T12:47:37Z</dcterms:modified>
  <cp:revision>3</cp:revision>
  <dc:subject>Politische Feindmarkierung und Kollektivabwertung</dc:subject>
  <dc:title>Kommentarspalten lesen lernen – One-Pager 1 (zweiseitig)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